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鼓楼区机关大院安防设备保障运维服务方案</w:t>
      </w:r>
    </w:p>
    <w:p>
      <w:pPr>
        <w:pStyle w:val="9"/>
        <w:numPr>
          <w:ilvl w:val="0"/>
          <w:numId w:val="1"/>
        </w:numPr>
        <w:spacing w:line="500" w:lineRule="exact"/>
        <w:ind w:firstLineChars="0"/>
        <w:rPr>
          <w:rFonts w:ascii="仿宋" w:hAnsi="仿宋" w:eastAsia="仿宋" w:cs="仿宋"/>
          <w:b/>
          <w:bCs/>
          <w:sz w:val="28"/>
          <w:szCs w:val="28"/>
        </w:rPr>
      </w:pPr>
      <w:r>
        <w:rPr>
          <w:rFonts w:hint="eastAsia" w:ascii="仿宋" w:hAnsi="仿宋" w:eastAsia="仿宋" w:cs="仿宋"/>
          <w:b/>
          <w:bCs/>
          <w:sz w:val="28"/>
          <w:szCs w:val="28"/>
        </w:rPr>
        <w:t>服务内容</w:t>
      </w:r>
    </w:p>
    <w:p>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对现有鼓楼区机关大院保障设备清单里的设备提供1年维保服务。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工作日根据需求安排技术工程师进行现场服务并做好签到工作，每周7天、提供24小时应急服务保持手机开机，随时接听服务电话。突发的重大安全事件须在接到用户故障通知后15分钟内到场做应急处理，简单故障须在1小时内解决。若无法查明故障原因须增派工程师且在3小时内提供解决方案。一个月内，累计3次超时响应的扣300元</w:t>
      </w:r>
      <w:r>
        <w:rPr>
          <w:rFonts w:hint="eastAsia" w:ascii="仿宋" w:hAnsi="仿宋" w:eastAsia="仿宋" w:cs="仿宋"/>
          <w:sz w:val="28"/>
          <w:szCs w:val="28"/>
          <w:lang w:val="en-US" w:eastAsia="zh-CN"/>
        </w:rPr>
        <w:t>/次</w:t>
      </w:r>
      <w:r>
        <w:rPr>
          <w:rFonts w:hint="eastAsia" w:ascii="仿宋" w:hAnsi="仿宋" w:eastAsia="仿宋" w:cs="仿宋"/>
          <w:sz w:val="28"/>
          <w:szCs w:val="28"/>
        </w:rPr>
        <w:t>，累计3次无法解决问题的扣500元</w:t>
      </w:r>
      <w:r>
        <w:rPr>
          <w:rFonts w:hint="eastAsia" w:ascii="仿宋" w:hAnsi="仿宋" w:eastAsia="仿宋" w:cs="仿宋"/>
          <w:sz w:val="28"/>
          <w:szCs w:val="28"/>
          <w:lang w:val="en-US" w:eastAsia="zh-CN"/>
        </w:rPr>
        <w:t>/次</w:t>
      </w:r>
      <w:r>
        <w:rPr>
          <w:rFonts w:hint="eastAsia" w:ascii="仿宋" w:hAnsi="仿宋" w:eastAsia="仿宋" w:cs="仿宋"/>
          <w:sz w:val="28"/>
          <w:szCs w:val="28"/>
        </w:rPr>
        <w:t>，并赔偿</w:t>
      </w:r>
      <w:r>
        <w:rPr>
          <w:rFonts w:hint="eastAsia" w:ascii="仿宋" w:hAnsi="仿宋" w:eastAsia="仿宋" w:cs="仿宋"/>
          <w:sz w:val="28"/>
          <w:szCs w:val="28"/>
          <w:lang w:eastAsia="zh-CN"/>
        </w:rPr>
        <w:t>采购方</w:t>
      </w:r>
      <w:r>
        <w:rPr>
          <w:rFonts w:hint="eastAsia" w:ascii="仿宋" w:hAnsi="仿宋" w:eastAsia="仿宋" w:cs="仿宋"/>
          <w:sz w:val="28"/>
          <w:szCs w:val="28"/>
        </w:rPr>
        <w:t>因无法解决而造成的损失。若出现设备硬件故障或软件相关问题，应及时向</w:t>
      </w:r>
      <w:r>
        <w:rPr>
          <w:rFonts w:hint="eastAsia" w:ascii="仿宋" w:hAnsi="仿宋" w:eastAsia="仿宋" w:cs="仿宋"/>
          <w:sz w:val="28"/>
          <w:szCs w:val="28"/>
          <w:lang w:eastAsia="zh-CN"/>
        </w:rPr>
        <w:t>采购方</w:t>
      </w:r>
      <w:r>
        <w:rPr>
          <w:rFonts w:hint="eastAsia" w:ascii="仿宋" w:hAnsi="仿宋" w:eastAsia="仿宋" w:cs="仿宋"/>
          <w:sz w:val="28"/>
          <w:szCs w:val="28"/>
        </w:rPr>
        <w:t>汇报情况，同时配合厂商工程师进行维护或更换有缺陷的零部件，并提供故障处理报告。因运维服务解决不及时导致接到区领导干部投诉的扣300元</w:t>
      </w:r>
      <w:r>
        <w:rPr>
          <w:rFonts w:hint="eastAsia" w:ascii="仿宋" w:hAnsi="仿宋" w:eastAsia="仿宋" w:cs="仿宋"/>
          <w:sz w:val="28"/>
          <w:szCs w:val="28"/>
          <w:lang w:val="en-US" w:eastAsia="zh-CN"/>
        </w:rPr>
        <w:t>/次</w:t>
      </w:r>
      <w:r>
        <w:rPr>
          <w:rFonts w:hint="eastAsia" w:ascii="仿宋" w:hAnsi="仿宋" w:eastAsia="仿宋" w:cs="仿宋"/>
          <w:sz w:val="28"/>
          <w:szCs w:val="28"/>
        </w:rPr>
        <w:t>，导致接到12345投诉的扣500元</w:t>
      </w:r>
      <w:r>
        <w:rPr>
          <w:rFonts w:hint="eastAsia" w:ascii="仿宋" w:hAnsi="仿宋" w:eastAsia="仿宋" w:cs="仿宋"/>
          <w:sz w:val="28"/>
          <w:szCs w:val="28"/>
          <w:lang w:val="en-US" w:eastAsia="zh-CN"/>
        </w:rPr>
        <w:t>/次</w:t>
      </w:r>
      <w:r>
        <w:rPr>
          <w:rFonts w:hint="eastAsia" w:ascii="仿宋" w:hAnsi="仿宋" w:eastAsia="仿宋" w:cs="仿宋"/>
          <w:sz w:val="28"/>
          <w:szCs w:val="28"/>
        </w:rPr>
        <w:t>。</w:t>
      </w:r>
    </w:p>
    <w:p>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巡检服务：</w:t>
      </w:r>
    </w:p>
    <w:p>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每周对保障清单上的设备进行巡检服务和设备清洁服</w:t>
      </w:r>
      <w:r>
        <w:rPr>
          <w:rFonts w:hint="eastAsia" w:ascii="仿宋" w:hAnsi="仿宋" w:eastAsia="仿宋" w:cs="仿宋"/>
          <w:sz w:val="28"/>
          <w:szCs w:val="28"/>
          <w:shd w:val="clear" w:color="auto" w:fill="FFFFFF" w:themeFill="background1"/>
        </w:rPr>
        <w:t>务，并要做好巡检和保养记录以备查。</w:t>
      </w:r>
      <w:r>
        <w:rPr>
          <w:rFonts w:hint="eastAsia" w:ascii="仿宋" w:hAnsi="仿宋" w:eastAsia="仿宋" w:cs="仿宋"/>
          <w:sz w:val="28"/>
          <w:szCs w:val="28"/>
        </w:rPr>
        <w:t>巡检或者日常运维过程中及时发现系统漏洞及不足之处须告知甲方再进行补丁安装、软件升级等升级完善工作；</w:t>
      </w:r>
      <w:r>
        <w:rPr>
          <w:rFonts w:hint="eastAsia" w:ascii="仿宋" w:hAnsi="仿宋" w:eastAsia="仿宋" w:cs="仿宋"/>
          <w:sz w:val="28"/>
          <w:szCs w:val="28"/>
          <w:shd w:val="clear" w:color="auto" w:fill="FFFFFF" w:themeFill="background1"/>
        </w:rPr>
        <w:t xml:space="preserve"> </w:t>
      </w:r>
    </w:p>
    <w:p>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升级服务：</w:t>
      </w:r>
    </w:p>
    <w:p>
      <w:pPr>
        <w:spacing w:line="500" w:lineRule="exact"/>
        <w:ind w:left="420" w:leftChars="200"/>
        <w:rPr>
          <w:rFonts w:hint="eastAsia" w:ascii="仿宋" w:hAnsi="仿宋" w:eastAsia="仿宋" w:cs="仿宋"/>
          <w:sz w:val="28"/>
          <w:szCs w:val="28"/>
        </w:rPr>
      </w:pPr>
      <w:r>
        <w:rPr>
          <w:rFonts w:hint="eastAsia" w:ascii="仿宋" w:hAnsi="仿宋" w:eastAsia="仿宋" w:cs="仿宋"/>
          <w:sz w:val="28"/>
          <w:szCs w:val="28"/>
        </w:rPr>
        <w:t>用户如有需求提出的现有系统升级服务，在分析是否满足升级条</w:t>
      </w:r>
    </w:p>
    <w:p>
      <w:pPr>
        <w:spacing w:line="500" w:lineRule="exact"/>
        <w:rPr>
          <w:rFonts w:ascii="仿宋" w:hAnsi="仿宋" w:eastAsia="仿宋" w:cs="仿宋"/>
          <w:sz w:val="28"/>
          <w:szCs w:val="28"/>
        </w:rPr>
      </w:pPr>
      <w:r>
        <w:rPr>
          <w:rFonts w:hint="eastAsia" w:ascii="仿宋" w:hAnsi="仿宋" w:eastAsia="仿宋" w:cs="仿宋"/>
          <w:sz w:val="28"/>
          <w:szCs w:val="28"/>
        </w:rPr>
        <w:t>件，跟用户确认完再进行升级。</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5、业务培训：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须对现有的设备和软件系统熟练操作。如用户有需要维护人员提供全面高质量的运维培训和技术指导。若新系统上线或有新进人员培训需求时，须提供培训课程和详细的培训材料。</w:t>
      </w:r>
    </w:p>
    <w:p>
      <w:pPr>
        <w:spacing w:line="500" w:lineRule="exact"/>
        <w:rPr>
          <w:rFonts w:hint="eastAsia" w:ascii="仿宋" w:hAnsi="仿宋" w:eastAsia="仿宋" w:cs="仿宋"/>
          <w:b/>
          <w:sz w:val="28"/>
          <w:szCs w:val="28"/>
        </w:rPr>
      </w:pPr>
    </w:p>
    <w:p>
      <w:pPr>
        <w:spacing w:line="500" w:lineRule="exact"/>
        <w:rPr>
          <w:rFonts w:ascii="仿宋" w:hAnsi="仿宋" w:eastAsia="仿宋" w:cs="仿宋"/>
          <w:b/>
          <w:sz w:val="28"/>
          <w:szCs w:val="28"/>
        </w:rPr>
      </w:pPr>
      <w:r>
        <w:rPr>
          <w:rFonts w:hint="eastAsia" w:ascii="仿宋" w:hAnsi="仿宋" w:eastAsia="仿宋" w:cs="仿宋"/>
          <w:b/>
          <w:sz w:val="28"/>
          <w:szCs w:val="28"/>
        </w:rPr>
        <w:t>二、服务资源：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1、服务期间中标方须提供维护招标方软件平台和硬件的所有工具设备。如需招标方购买的软件和硬件，需以报告形式说明理由，且购买的软件和硬件归招标方所有。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对现有综合安防管理平台和服务期内新增的系统需定期备份防止数据丢失，须正式授权激活并与现生产环境授权一致，并在中标3天内完成部署。若无法实现该需求，采购方可无理由解除合同并追究相关责任，承诺函需加盖投标人公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保密措施：对现有的平台及系统信息属于保密信息，不得随意转存其他移动设备带出。须对采购方提供本项目保密机制以防信息泄露。在服务期内提供一套具有身份验证、授权控制、账号管理、安全审计等功能的软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在服务周期内提供已完成ICP备案的云服务主机（CPU≥2vCPUs；内存≥8GiB；硬件≥200GB；固定IP地址1个）需提供工信部网站备案截图证明，对接业主单位的微信小程序并提供SSL证书，须出具承诺书承诺能够完成与对接现有的微信小程序，对接过程业务不能中断，对接过程中产生的费用由中标人承担，日常运维过程中，若遇到小程序故障，应第一时间开展故障排查，定位故障问题，联系厂商技术人员告知故障情况，以便厂商技术人员处理故障，若无法实现该需求，采购方可无理由解除合同并追究相关责任。承诺函需加盖投标人公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根据业主要求重新梳理原信访楼安防平台，将所有设备并入现大院安防平台统一管理，并提供现大院安防平台的新增授权，部署实施、新增安防平台授权产生的费用均由中标人承担，其费用均包含在投标报价之中，投标人投标报价时应充分考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中标后3个工作日内</w:t>
      </w:r>
      <w:r>
        <w:rPr>
          <w:rFonts w:hint="eastAsia" w:ascii="仿宋" w:hAnsi="仿宋" w:eastAsia="仿宋" w:cs="仿宋"/>
          <w:sz w:val="28"/>
          <w:szCs w:val="28"/>
        </w:rPr>
        <w:t>提供一套快速人员通道，</w:t>
      </w:r>
      <w:r>
        <w:rPr>
          <w:rFonts w:hint="eastAsia" w:ascii="仿宋" w:hAnsi="仿宋" w:eastAsia="仿宋" w:cs="仿宋"/>
          <w:sz w:val="28"/>
          <w:szCs w:val="28"/>
          <w:lang w:eastAsia="zh-CN"/>
        </w:rPr>
        <w:t>作</w:t>
      </w:r>
      <w:r>
        <w:rPr>
          <w:rFonts w:hint="eastAsia" w:ascii="仿宋" w:hAnsi="仿宋" w:eastAsia="仿宋" w:cs="仿宋"/>
          <w:sz w:val="28"/>
          <w:szCs w:val="28"/>
        </w:rPr>
        <w:t>为备件并能无缝对接大院安防平台，</w:t>
      </w:r>
      <w:r>
        <w:rPr>
          <w:rFonts w:hint="eastAsia" w:ascii="仿宋" w:hAnsi="仿宋" w:eastAsia="仿宋" w:cs="仿宋"/>
          <w:sz w:val="28"/>
          <w:szCs w:val="28"/>
          <w:lang w:eastAsia="zh-CN"/>
        </w:rPr>
        <w:t>若超过时间未送达现场视为放弃中标资格。</w:t>
      </w:r>
      <w:r>
        <w:rPr>
          <w:rFonts w:hint="eastAsia" w:ascii="仿宋" w:hAnsi="仿宋" w:eastAsia="仿宋" w:cs="仿宋"/>
          <w:sz w:val="28"/>
          <w:szCs w:val="28"/>
        </w:rPr>
        <w:t>可实现设备应支持网络功能检查，应支持IP冲突检测；应支持4个安防平台管理中心同时接收实时上传的事件记录，需提供国家安全防范报警系统产品质量监督检验中心（上海）提供的检验报告及产品供应商应具有符合ISO/IEC 27701：2019要求的隐私信息管理体系认证，产生的费用均由中标人承担，其费用均包含在投标报价之中，投标人投标报价时应充分考虑，服务期结束后，未使用的备品归还给成交人，已用备品归采购人使用。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根据业主要求提供不低于八台摄像机做为备件，具体设备技术参数要求根据业主实际现场使用情况提供相应设备，其产生的费用均由中标人承担，其费用均包含在投标报价之中，投标人投标报价时应充分考虑，服务期结束后，未使用的备品归还给成交人，已用备品归采购人使用。</w:t>
      </w:r>
    </w:p>
    <w:p>
      <w:pPr>
        <w:spacing w:line="500" w:lineRule="exact"/>
        <w:rPr>
          <w:rFonts w:ascii="仿宋" w:hAnsi="仿宋" w:eastAsia="仿宋" w:cs="仿宋"/>
          <w:sz w:val="28"/>
          <w:szCs w:val="28"/>
        </w:rPr>
      </w:pPr>
    </w:p>
    <w:p>
      <w:pPr>
        <w:spacing w:line="500" w:lineRule="exact"/>
        <w:rPr>
          <w:rFonts w:ascii="仿宋" w:hAnsi="仿宋" w:eastAsia="仿宋" w:cs="仿宋"/>
          <w:b/>
          <w:sz w:val="28"/>
          <w:szCs w:val="28"/>
        </w:rPr>
      </w:pPr>
      <w:r>
        <w:rPr>
          <w:rFonts w:hint="eastAsia" w:ascii="仿宋" w:hAnsi="仿宋" w:eastAsia="仿宋" w:cs="仿宋"/>
          <w:b/>
          <w:sz w:val="28"/>
          <w:szCs w:val="28"/>
        </w:rPr>
        <w:t>安防保障设备：</w:t>
      </w:r>
    </w:p>
    <w:tbl>
      <w:tblPr>
        <w:tblStyle w:val="4"/>
        <w:tblW w:w="8311" w:type="dxa"/>
        <w:jc w:val="center"/>
        <w:tblLayout w:type="fixed"/>
        <w:tblCellMar>
          <w:top w:w="0" w:type="dxa"/>
          <w:left w:w="59" w:type="dxa"/>
          <w:bottom w:w="0" w:type="dxa"/>
          <w:right w:w="59" w:type="dxa"/>
        </w:tblCellMar>
      </w:tblPr>
      <w:tblGrid>
        <w:gridCol w:w="647"/>
        <w:gridCol w:w="2095"/>
        <w:gridCol w:w="1281"/>
        <w:gridCol w:w="2365"/>
        <w:gridCol w:w="658"/>
        <w:gridCol w:w="577"/>
        <w:gridCol w:w="688"/>
      </w:tblGrid>
      <w:tr>
        <w:tblPrEx>
          <w:tblCellMar>
            <w:top w:w="0" w:type="dxa"/>
            <w:left w:w="59" w:type="dxa"/>
            <w:bottom w:w="0" w:type="dxa"/>
            <w:right w:w="59" w:type="dxa"/>
          </w:tblCellMar>
        </w:tblPrEx>
        <w:trPr>
          <w:trHeight w:val="603" w:hRule="atLeast"/>
          <w:jc w:val="center"/>
        </w:trPr>
        <w:tc>
          <w:tcPr>
            <w:tcW w:w="8311" w:type="dxa"/>
            <w:gridSpan w:val="7"/>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鼓楼区机关大院保障设备清单</w:t>
            </w: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 号</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一、设备、材料名称</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品牌</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型号</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备注</w:t>
            </w: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出入口补光抓拍单元</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EVU-2535-A</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快速数字道闸</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DS-TMG500-HA(含雷达)</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出入口控制终端</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DS-TPE100(1T)</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车检雷达</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DS-TMG033(触发)</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个</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LED显示屏</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IS-TVL224-4-5EY</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highlight w:val="yellow"/>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单机芯左边道</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DS-K3B401-L(国内标配</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单机芯右边道</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DS-K3B402</w:t>
            </w:r>
            <w:r>
              <w:rPr>
                <w:rStyle w:val="8"/>
                <w:rFonts w:hint="default" w:ascii="仿宋" w:hAnsi="仿宋" w:eastAsia="仿宋" w:cs="仿宋"/>
                <w:sz w:val="28"/>
                <w:szCs w:val="28"/>
                <w:lang w:bidi="ar"/>
              </w:rPr>
              <w:t>-R(国内标配</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入口控制机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DS-TME401-TL-S</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出口控制机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DS-TME402-TL-S</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枪型摄像机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DS-2CD5842EFWD-IZ(2.8-12mm)(国内标配)</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枪型摄像机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DS-2CD2T10FD-I3</w:t>
            </w:r>
          </w:p>
        </w:tc>
        <w:tc>
          <w:tcPr>
            <w:tcW w:w="65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w:t>
            </w:r>
          </w:p>
        </w:tc>
        <w:tc>
          <w:tcPr>
            <w:tcW w:w="57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球型摄像机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DS-2CD234KF</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球型摄像机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DS-2CD2145FD-I</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38</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球型摄像机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DS-2CD2T4KF</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人脸抓拍摄像机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DS-2CD762XYZUV-ABCDEF</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全局人脸抓拍摄像机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(i)DS-2PT9ABCDEFG-UVWS_XYL</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网络摄像机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DS-2CD7A47EWD-LZ(2.8-12mm)(国内标配)</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智能星光级球型摄像机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iDS-2DF8225IH-A(D)</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脸谱</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DS-IE6316-E/FA</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门禁主机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DS-K2602</w:t>
            </w:r>
            <w:r>
              <w:rPr>
                <w:rStyle w:val="8"/>
                <w:rFonts w:hint="default" w:ascii="仿宋" w:hAnsi="仿宋" w:eastAsia="仿宋" w:cs="仿宋"/>
                <w:sz w:val="28"/>
                <w:szCs w:val="28"/>
                <w:lang w:bidi="ar"/>
              </w:rPr>
              <w:t>/2604</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读卡器</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DS-K1107M</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 cy="62865"/>
                  <wp:effectExtent l="0" t="0" r="0" b="0"/>
                  <wp:wrapNone/>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445" cy="10160"/>
                  <wp:effectExtent l="0" t="0" r="0" b="0"/>
                  <wp:wrapNone/>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5" cy="1016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445" cy="62865"/>
                  <wp:effectExtent l="0" t="0" r="0"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445" cy="10160"/>
                  <wp:effectExtent l="0" t="0" r="0" b="0"/>
                  <wp:wrapNone/>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5" cy="1016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445" cy="36830"/>
                  <wp:effectExtent l="0" t="0" r="0" b="0"/>
                  <wp:wrapNone/>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445" cy="36830"/>
                  <wp:effectExtent l="0" t="0" r="0" b="0"/>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445" cy="62865"/>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445" cy="10160"/>
                  <wp:effectExtent l="0" t="0" r="0" b="0"/>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5" cy="1016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445" cy="36830"/>
                  <wp:effectExtent l="0" t="0" r="0" b="0"/>
                  <wp:wrapNone/>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445" cy="62865"/>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445" cy="36830"/>
                  <wp:effectExtent l="0" t="0" r="0" b="0"/>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4445" cy="36830"/>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4445" cy="36830"/>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4445" cy="62865"/>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4445" cy="62865"/>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4445" cy="36830"/>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4445" cy="3683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4445" cy="6286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445" cy="1016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5" cy="1016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4445" cy="3683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445" cy="3683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445" cy="3683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445" cy="368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45" cy="36830"/>
                          </a:xfrm>
                          <a:prstGeom prst="rect">
                            <a:avLst/>
                          </a:prstGeom>
                          <a:noFill/>
                          <a:ln>
                            <a:noFill/>
                          </a:ln>
                        </pic:spPr>
                      </pic:pic>
                    </a:graphicData>
                  </a:graphic>
                </wp:anchor>
              </w:drawing>
            </w:r>
            <w:r>
              <w:rPr>
                <w:rFonts w:hint="eastAsia" w:ascii="仿宋" w:hAnsi="仿宋" w:eastAsia="仿宋" w:cs="仿宋"/>
                <w:color w:val="000000"/>
                <w:kern w:val="0"/>
                <w:sz w:val="28"/>
                <w:szCs w:val="28"/>
                <w:bdr w:val="single" w:color="000000" w:sz="4" w:space="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4445" cy="6286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45" cy="62865"/>
                          </a:xfrm>
                          <a:prstGeom prst="rect">
                            <a:avLst/>
                          </a:prstGeom>
                          <a:noFill/>
                          <a:ln>
                            <a:noFill/>
                          </a:ln>
                        </pic:spPr>
                      </pic:pic>
                    </a:graphicData>
                  </a:graphic>
                </wp:anchor>
              </w:drawing>
            </w:r>
            <w:r>
              <w:rPr>
                <w:rFonts w:hint="eastAsia" w:ascii="仿宋" w:hAnsi="仿宋" w:eastAsia="仿宋" w:cs="仿宋"/>
                <w:color w:val="000000"/>
                <w:kern w:val="0"/>
                <w:sz w:val="28"/>
                <w:szCs w:val="28"/>
                <w:lang w:bidi="ar"/>
              </w:rPr>
              <w:t>2</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磁力锁-电子锁</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DS-K4H350SWH</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把</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磁力锁支架-电子锁</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DS-K4H350W-LZ</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只</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电梯控制产品（主机）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DS-K2210</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电梯控制产品（联动分机）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DS-K2M0016A</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发卡/授权机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DS-K1F100-D8E</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身份信息识别产品</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DS-K5022</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访客机</w:t>
            </w: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交换机</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DS-3E2728F-H</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光纤收发器</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DS-3D201T-A</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与监控摄像机配套使用</w:t>
            </w: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光模块（接收）</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HK-SFP-1.25G-20-1550</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对</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与监控摄像机配套使用</w:t>
            </w: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综合软件平台</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ivms-8700</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688"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center"/>
              <w:rPr>
                <w:rFonts w:ascii="仿宋" w:hAnsi="仿宋" w:eastAsia="仿宋" w:cs="仿宋"/>
                <w:color w:val="000000"/>
                <w:sz w:val="28"/>
                <w:szCs w:val="28"/>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32</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综合安防平台</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海康威视</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iSecure Center综合安防管理平台</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p>
        </w:tc>
      </w:tr>
      <w:tr>
        <w:tblPrEx>
          <w:tblCellMar>
            <w:top w:w="0" w:type="dxa"/>
            <w:left w:w="59" w:type="dxa"/>
            <w:bottom w:w="0" w:type="dxa"/>
            <w:right w:w="59" w:type="dxa"/>
          </w:tblCellMar>
        </w:tblPrEx>
        <w:trPr>
          <w:trHeight w:val="603"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33</w:t>
            </w:r>
          </w:p>
        </w:tc>
        <w:tc>
          <w:tcPr>
            <w:tcW w:w="209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防火墙</w:t>
            </w:r>
          </w:p>
        </w:tc>
        <w:tc>
          <w:tcPr>
            <w:tcW w:w="1281"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黑盾</w:t>
            </w:r>
          </w:p>
        </w:tc>
        <w:tc>
          <w:tcPr>
            <w:tcW w:w="2365"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HD-FW-A3-2613-3</w:t>
            </w:r>
          </w:p>
        </w:tc>
        <w:tc>
          <w:tcPr>
            <w:tcW w:w="658"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577" w:type="dxa"/>
            <w:tcBorders>
              <w:top w:val="single" w:color="000000" w:sz="2" w:space="0"/>
              <w:left w:val="single" w:color="000000" w:sz="2" w:space="0"/>
              <w:bottom w:val="single" w:color="000000" w:sz="2" w:space="0"/>
              <w:right w:val="single" w:color="000000" w:sz="2" w:space="0"/>
            </w:tcBorders>
            <w:noWrap/>
            <w:vAlign w:val="center"/>
          </w:tcPr>
          <w:p>
            <w:pPr>
              <w:widowControl/>
              <w:spacing w:line="50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套</w:t>
            </w:r>
          </w:p>
        </w:tc>
        <w:tc>
          <w:tcPr>
            <w:tcW w:w="688" w:type="dxa"/>
            <w:tcBorders>
              <w:top w:val="single" w:color="000000" w:sz="2" w:space="0"/>
              <w:left w:val="single" w:color="000000" w:sz="2" w:space="0"/>
              <w:bottom w:val="single" w:color="000000" w:sz="2" w:space="0"/>
              <w:right w:val="single" w:color="000000" w:sz="2" w:space="0"/>
            </w:tcBorders>
            <w:vAlign w:val="center"/>
          </w:tcPr>
          <w:p>
            <w:pPr>
              <w:widowControl/>
              <w:spacing w:line="500" w:lineRule="exact"/>
              <w:jc w:val="center"/>
              <w:textAlignment w:val="center"/>
              <w:rPr>
                <w:rFonts w:ascii="仿宋" w:hAnsi="仿宋" w:eastAsia="仿宋" w:cs="仿宋"/>
                <w:color w:val="000000"/>
                <w:kern w:val="0"/>
                <w:sz w:val="28"/>
                <w:szCs w:val="28"/>
                <w:lang w:bidi="ar"/>
              </w:rPr>
            </w:pPr>
          </w:p>
        </w:tc>
      </w:tr>
    </w:tbl>
    <w:p>
      <w:pPr>
        <w:spacing w:line="500" w:lineRule="exact"/>
        <w:rPr>
          <w:rFonts w:ascii="仿宋" w:hAnsi="仿宋" w:eastAsia="仿宋" w:cs="仿宋"/>
          <w:b/>
          <w:bCs/>
          <w:sz w:val="28"/>
          <w:szCs w:val="28"/>
        </w:rPr>
      </w:pPr>
      <w:r>
        <w:rPr>
          <w:rFonts w:hint="eastAsia" w:ascii="仿宋" w:hAnsi="仿宋" w:eastAsia="仿宋" w:cs="仿宋"/>
          <w:b/>
          <w:bCs/>
          <w:sz w:val="28"/>
          <w:szCs w:val="28"/>
        </w:rPr>
        <w:t>若有未列出设备，与本运维服务相关均在维护范围。</w:t>
      </w:r>
    </w:p>
    <w:p>
      <w:pPr>
        <w:spacing w:line="500" w:lineRule="exact"/>
        <w:rPr>
          <w:rFonts w:ascii="仿宋" w:hAnsi="仿宋" w:eastAsia="仿宋" w:cs="仿宋"/>
          <w:b/>
          <w:sz w:val="28"/>
          <w:szCs w:val="28"/>
        </w:rPr>
      </w:pPr>
      <w:r>
        <w:rPr>
          <w:rFonts w:hint="eastAsia" w:ascii="仿宋" w:hAnsi="仿宋" w:eastAsia="仿宋" w:cs="仿宋"/>
          <w:b/>
          <w:sz w:val="28"/>
          <w:szCs w:val="28"/>
        </w:rPr>
        <w:t>机房维护：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1、配合部署在机房内的</w:t>
      </w:r>
      <w:bookmarkStart w:id="0" w:name="_GoBack"/>
      <w:bookmarkEnd w:id="0"/>
      <w:r>
        <w:rPr>
          <w:rFonts w:hint="eastAsia" w:ascii="仿宋" w:hAnsi="仿宋" w:eastAsia="仿宋" w:cs="仿宋"/>
          <w:sz w:val="28"/>
          <w:szCs w:val="28"/>
        </w:rPr>
        <w:t xml:space="preserve">业务系统的维护。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2、硬件维护：维护机房内的所有网络设备、安全设备，服务器、存储设备应检查硬盘和电源等健康情况，及时报告并处理各类硬件故障。若产生硬件维修成本，具体费用另行协商。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3、第三方单位入驻机房施工时的全程看护及配合。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4、服务期内新增的硬件均列入维护范围。</w:t>
      </w:r>
    </w:p>
    <w:p>
      <w:pPr>
        <w:spacing w:line="500" w:lineRule="exact"/>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668B2"/>
    <w:multiLevelType w:val="multilevel"/>
    <w:tmpl w:val="2AF668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66449C"/>
    <w:multiLevelType w:val="singleLevel"/>
    <w:tmpl w:val="706644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YTViODEzMzJmZDQzOWYwNjJkMDNhYzM5MWZkOTIifQ=="/>
  </w:docVars>
  <w:rsids>
    <w:rsidRoot w:val="00E420D3"/>
    <w:rsid w:val="0000621C"/>
    <w:rsid w:val="00030266"/>
    <w:rsid w:val="00042943"/>
    <w:rsid w:val="000827EC"/>
    <w:rsid w:val="00103846"/>
    <w:rsid w:val="002B5D92"/>
    <w:rsid w:val="002C36B3"/>
    <w:rsid w:val="003000A4"/>
    <w:rsid w:val="003B5DF1"/>
    <w:rsid w:val="0040136F"/>
    <w:rsid w:val="004A3932"/>
    <w:rsid w:val="00545051"/>
    <w:rsid w:val="00557A2C"/>
    <w:rsid w:val="005B5F8B"/>
    <w:rsid w:val="006D46FD"/>
    <w:rsid w:val="006E56FD"/>
    <w:rsid w:val="006F7F09"/>
    <w:rsid w:val="00726008"/>
    <w:rsid w:val="00742B32"/>
    <w:rsid w:val="00753A0A"/>
    <w:rsid w:val="00792702"/>
    <w:rsid w:val="007A7E49"/>
    <w:rsid w:val="007C1E3B"/>
    <w:rsid w:val="007F1CC9"/>
    <w:rsid w:val="008D4F57"/>
    <w:rsid w:val="009026AF"/>
    <w:rsid w:val="00911184"/>
    <w:rsid w:val="009650E7"/>
    <w:rsid w:val="00A34226"/>
    <w:rsid w:val="00AA3DDE"/>
    <w:rsid w:val="00BB58C4"/>
    <w:rsid w:val="00C3028B"/>
    <w:rsid w:val="00D67C28"/>
    <w:rsid w:val="00E10D5C"/>
    <w:rsid w:val="00E27F90"/>
    <w:rsid w:val="00E40D83"/>
    <w:rsid w:val="00E420D3"/>
    <w:rsid w:val="00F3064A"/>
    <w:rsid w:val="00F67C9D"/>
    <w:rsid w:val="0F094A29"/>
    <w:rsid w:val="16CD5BE6"/>
    <w:rsid w:val="1AF90915"/>
    <w:rsid w:val="1B216B4E"/>
    <w:rsid w:val="1BEB2E4F"/>
    <w:rsid w:val="26A7195D"/>
    <w:rsid w:val="350E3B42"/>
    <w:rsid w:val="38B74B99"/>
    <w:rsid w:val="44507CD3"/>
    <w:rsid w:val="49C83E68"/>
    <w:rsid w:val="5777697C"/>
    <w:rsid w:val="595D1D47"/>
    <w:rsid w:val="5EE65064"/>
    <w:rsid w:val="632F0AFA"/>
    <w:rsid w:val="633E3D2B"/>
    <w:rsid w:val="641E75E2"/>
    <w:rsid w:val="6A2A4582"/>
    <w:rsid w:val="78AA6EDD"/>
    <w:rsid w:val="7A8F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1"/>
    <w:qFormat/>
    <w:uiPriority w:val="0"/>
    <w:rPr>
      <w:rFonts w:hint="eastAsia" w:ascii="宋体" w:hAnsi="宋体" w:eastAsia="宋体" w:cs="宋体"/>
      <w:color w:val="000000"/>
      <w:sz w:val="22"/>
      <w:szCs w:val="22"/>
      <w:u w:val="none"/>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2293</Words>
  <Characters>2804</Characters>
  <Lines>22</Lines>
  <Paragraphs>6</Paragraphs>
  <TotalTime>1</TotalTime>
  <ScaleCrop>false</ScaleCrop>
  <LinksUpToDate>false</LinksUpToDate>
  <CharactersWithSpaces>2810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2023-03-01T11:56:00Z</dcterms:created>
  <dc:creator>Administrator</dc:creator>
  <cp:lastModifiedBy>WPS_1568880815</cp:lastModifiedBy>
  <cp:lastPrinted>2024-05-08T02:24:00Z</cp:lastPrinted>
  <dcterms:modified xsi:type="dcterms:W3CDTF">2024-05-09T01:15:07Z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82DE52D0D7214603BB59961DDF5F4D22_13</vt:lpwstr>
  </property>
</Properties>
</file>