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39DCB">
      <w:pPr>
        <w:pStyle w:val="11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</w:rPr>
        <w:t>附件1</w:t>
      </w:r>
    </w:p>
    <w:p w14:paraId="4795BCF2">
      <w:pPr>
        <w:pStyle w:val="11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hint="eastAsia" w:ascii="Times New Roman" w:hAnsi="Times New Roman" w:cs="Times New Roman"/>
          <w:b/>
          <w:bCs/>
          <w:sz w:val="40"/>
          <w:szCs w:val="40"/>
        </w:rPr>
        <w:t>项目相关信息</w:t>
      </w:r>
    </w:p>
    <w:p w14:paraId="6B08641D">
      <w:pPr>
        <w:pStyle w:val="11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B41AB72">
      <w:pPr>
        <w:pStyle w:val="11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一、工作内容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</w:p>
    <w:p w14:paraId="49D47802">
      <w:pPr>
        <w:adjustRightInd w:val="0"/>
        <w:snapToGrid w:val="0"/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一是根据国家规范标准，协助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采购方</w:t>
      </w:r>
      <w:r>
        <w:rPr>
          <w:rFonts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州市鼓楼区行</w:t>
      </w:r>
      <w:r>
        <w:rPr>
          <w:rFonts w:hint="eastAsia" w:ascii="仿宋_GB2312" w:hAnsi="仿宋_GB2312" w:eastAsia="仿宋_GB2312" w:cs="仿宋_GB2312"/>
          <w:sz w:val="32"/>
          <w:szCs w:val="32"/>
        </w:rPr>
        <w:t>政区域</w:t>
      </w:r>
      <w:r>
        <w:rPr>
          <w:rFonts w:ascii="仿宋_GB2312" w:hAnsi="仿宋_GB2312" w:eastAsia="仿宋_GB2312" w:cs="仿宋_GB2312"/>
          <w:sz w:val="32"/>
          <w:szCs w:val="32"/>
        </w:rPr>
        <w:t>范围内挑选拟优化的新点位，监测点位需符合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国家规范</w:t>
      </w:r>
      <w:r>
        <w:rPr>
          <w:rFonts w:ascii="仿宋_GB2312" w:hAnsi="仿宋_GB2312" w:eastAsia="仿宋_GB2312" w:cs="仿宋_GB2312"/>
          <w:sz w:val="32"/>
          <w:szCs w:val="32"/>
        </w:rPr>
        <w:t>《环境空气质量监测点位布设技术规范》（HJ664-2013）的指标要求，应保证监测点附近 1000 米内的土地使用状况相对稳定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从采样口到附近最高障碍物之间的水平距离，应为该障碍物与采样口或监测光束高度差的两倍以上，或从采样口至障碍物顶部与地平线夹角应小于30度；采样口周围水平面应保证270°以上的捕集空间，如果采样口一边靠近建筑物，采样口周围水平面应有180°以上的自由空间；监测点周围环境状况相对稳定；监测点附近无强大的电磁干扰，周围有稳定可靠的电力供应和避雷设备，通信线路容易安装和检修；应考虑监测点位设置在机关单位及其他公共场所时，保证通畅、便利的出入通道及条件，在出现突发状况时，可及时赶到现场进行处理。（暂定</w:t>
      </w:r>
      <w:r>
        <w:rPr>
          <w:rFonts w:hint="eastAsia" w:ascii="仿宋_GB2312" w:hAnsi="仿宋_GB2312" w:eastAsia="仿宋_GB2312" w:cs="仿宋_GB2312"/>
          <w:sz w:val="32"/>
          <w:szCs w:val="32"/>
        </w:rPr>
        <w:t>五四北路国控站2</w:t>
      </w:r>
      <w:r>
        <w:rPr>
          <w:rFonts w:ascii="仿宋_GB2312" w:hAnsi="仿宋_GB2312" w:eastAsia="仿宋_GB2312" w:cs="仿宋_GB2312"/>
          <w:sz w:val="32"/>
          <w:szCs w:val="32"/>
        </w:rPr>
        <w:t>个备选点，实际点位位置可根据业主方要求在</w:t>
      </w:r>
      <w:r>
        <w:rPr>
          <w:rFonts w:hint="eastAsia" w:ascii="仿宋_GB2312" w:hAnsi="仿宋_GB2312" w:eastAsia="仿宋_GB2312" w:cs="仿宋_GB2312"/>
          <w:sz w:val="32"/>
          <w:szCs w:val="32"/>
        </w:rPr>
        <w:t>鼓楼</w:t>
      </w:r>
      <w:r>
        <w:rPr>
          <w:rFonts w:ascii="仿宋_GB2312" w:hAnsi="仿宋_GB2312" w:eastAsia="仿宋_GB2312" w:cs="仿宋_GB2312"/>
          <w:sz w:val="32"/>
          <w:szCs w:val="32"/>
        </w:rPr>
        <w:t>区范围内进行调整）。</w:t>
      </w:r>
    </w:p>
    <w:p w14:paraId="43051798">
      <w:pPr>
        <w:adjustRightInd w:val="0"/>
        <w:snapToGrid w:val="0"/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二是在</w:t>
      </w:r>
      <w:r>
        <w:rPr>
          <w:rFonts w:hint="eastAsia" w:ascii="仿宋_GB2312" w:hAnsi="仿宋_GB2312" w:eastAsia="仿宋_GB2312" w:cs="仿宋_GB2312"/>
          <w:sz w:val="32"/>
          <w:szCs w:val="32"/>
        </w:rPr>
        <w:t>备选</w:t>
      </w:r>
      <w:r>
        <w:rPr>
          <w:rFonts w:ascii="仿宋_GB2312" w:hAnsi="仿宋_GB2312" w:eastAsia="仿宋_GB2312" w:cs="仿宋_GB2312"/>
          <w:sz w:val="32"/>
          <w:szCs w:val="32"/>
        </w:rPr>
        <w:t>点位建设临时站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（包括但不限于配套空调、排气扇、照明灯具、灭火器、配电箱、网络宽带等）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由中标方提供站房及监测设备（包括但不限于六参数监测与校准仪器、气象仪、温湿度表、稳压电源、监控及数据采集系统等）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依据国家规范《环境空气气态污染物（SO2、NO2、O3、CO）连续自动监测系统运行和质控技术规范》（HJ 818-21018）、《环境空气颗粒物（PM10 和 PM2.5）连续自动监测系统运行和质控技术规范》（HJ 817-2018）</w:t>
      </w:r>
      <w:r>
        <w:rPr>
          <w:rFonts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叁个月的</w:t>
      </w:r>
      <w:r>
        <w:rPr>
          <w:rFonts w:ascii="仿宋_GB2312" w:hAnsi="仿宋_GB2312" w:eastAsia="仿宋_GB2312" w:cs="仿宋_GB2312"/>
          <w:sz w:val="32"/>
          <w:szCs w:val="32"/>
        </w:rPr>
        <w:t>监测运维（运维含水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网络</w:t>
      </w:r>
      <w:r>
        <w:rPr>
          <w:rFonts w:hint="eastAsia" w:ascii="仿宋_GB2312" w:hAnsi="仿宋_GB2312" w:eastAsia="仿宋_GB2312" w:cs="仿宋_GB2312"/>
          <w:sz w:val="32"/>
          <w:szCs w:val="32"/>
        </w:rPr>
        <w:t>、运维耗材及维护更换配件</w:t>
      </w:r>
      <w:r>
        <w:rPr>
          <w:rFonts w:ascii="仿宋_GB2312" w:hAnsi="仿宋_GB2312" w:eastAsia="仿宋_GB2312" w:cs="仿宋_GB2312"/>
          <w:sz w:val="32"/>
          <w:szCs w:val="32"/>
        </w:rPr>
        <w:t>等产生的所有费用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站房</w:t>
      </w:r>
      <w:r>
        <w:rPr>
          <w:rFonts w:hint="eastAsia" w:ascii="仿宋_GB2312" w:hAnsi="仿宋_GB2312" w:eastAsia="仿宋_GB2312" w:cs="仿宋_GB2312"/>
          <w:sz w:val="32"/>
          <w:szCs w:val="32"/>
        </w:rPr>
        <w:t>结构应标准化，站房组件、部件、零件、附属设备、以及其安装接口，应是标准的、通用的，保证安全、可靠、稳定，且</w:t>
      </w:r>
      <w:r>
        <w:rPr>
          <w:rFonts w:ascii="仿宋_GB2312" w:hAnsi="仿宋_GB2312" w:eastAsia="仿宋_GB2312" w:cs="仿宋_GB2312"/>
          <w:sz w:val="32"/>
          <w:szCs w:val="32"/>
        </w:rPr>
        <w:t>配套仪器设备型号、运维管理标准应与福州市区国控站点一致）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运维期间，中标人应保证站房的供电及网络传输正常及防火用电安全，保持站房内部温湿度稳定及通风，雨季应及时巡检排查，防止站房周边积水及内部漏水隐患，同时应做好设备质控维护记录，数据的审核、分析及保存，做好数据保密工作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0C367796">
      <w:pPr>
        <w:adjustRightInd w:val="0"/>
        <w:snapToGrid w:val="0"/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三是结合当前国控站点及本次拟优化调整站点监测数据，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综合分析各点位之间污染物的相关性及污染物趋势走向，</w:t>
      </w:r>
      <w:r>
        <w:rPr>
          <w:rFonts w:ascii="仿宋_GB2312" w:hAnsi="仿宋_GB2312" w:eastAsia="仿宋_GB2312" w:cs="仿宋_GB2312"/>
          <w:sz w:val="32"/>
          <w:szCs w:val="32"/>
        </w:rPr>
        <w:t>编写点位优化调整论证报告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，报告内容应包含各监测点位的浓度数据分析、特征污染物分析、气象数据参数分析及综合污染指数统计等，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能更全面、客观、科学地反映区域环境空气质量状况，为环境管理、环境决策提供科学依据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1FA66F5C">
      <w:pPr>
        <w:adjustRightInd w:val="0"/>
        <w:snapToGrid w:val="0"/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中标人应具备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中标后3</w:t>
      </w:r>
      <w:r>
        <w:rPr>
          <w:rFonts w:ascii="仿宋_GB2312" w:hAnsi="仿宋_GB2312" w:eastAsia="仿宋_GB2312" w:cs="仿宋_GB2312"/>
          <w:sz w:val="32"/>
          <w:szCs w:val="32"/>
        </w:rPr>
        <w:t>天内开展全部点位比对监测的能力。</w:t>
      </w:r>
    </w:p>
    <w:p w14:paraId="3085DCEE">
      <w:pPr>
        <w:numPr>
          <w:ilvl w:val="0"/>
          <w:numId w:val="1"/>
        </w:numPr>
        <w:adjustRightInd w:val="0"/>
        <w:snapToGrid w:val="0"/>
        <w:spacing w:line="4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支付方式</w:t>
      </w:r>
    </w:p>
    <w:p w14:paraId="2D12EF6F">
      <w:pPr>
        <w:adjustRightInd w:val="0"/>
        <w:snapToGrid w:val="0"/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本项目分2期支付，签订合同30日内支付30%费用，完成规定监测任务并提交论证报告后30日内支付70%费用（实际支付费用以实际监测点位数和天数为准）。</w:t>
      </w:r>
    </w:p>
    <w:p w14:paraId="51893ED4">
      <w:pPr>
        <w:numPr>
          <w:ilvl w:val="0"/>
          <w:numId w:val="1"/>
        </w:numPr>
        <w:adjustRightInd w:val="0"/>
        <w:snapToGrid w:val="0"/>
        <w:spacing w:line="4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考核验收</w:t>
      </w:r>
    </w:p>
    <w:p w14:paraId="2E40FB5A">
      <w:pPr>
        <w:adjustRightInd w:val="0"/>
        <w:snapToGrid w:val="0"/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标人完成规定监测任务并提交论证报告后，由福州市鼓楼生态环境局组织进行项目验收。在本项目合同期内发生的一切质量问题，中标人应进行改进，期间所发生的一切费用由中标人承担，未能整改到位的，鼓楼生态环境局有权提</w:t>
      </w:r>
      <w:r>
        <w:rPr>
          <w:rFonts w:hint="eastAsia" w:ascii="仿宋_GB2312" w:hAnsi="仿宋_GB2312" w:eastAsia="仿宋_GB2312" w:cs="仿宋_GB2312"/>
          <w:sz w:val="32"/>
          <w:szCs w:val="32"/>
        </w:rPr>
        <w:t>前终止合同并追究违约责任。</w:t>
      </w:r>
    </w:p>
    <w:p w14:paraId="1C1CC4B0">
      <w:pPr>
        <w:pStyle w:val="11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四、违约责任条款</w:t>
      </w:r>
    </w:p>
    <w:p w14:paraId="2053D0A0">
      <w:pPr>
        <w:adjustRightInd w:val="0"/>
        <w:snapToGrid w:val="0"/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（1）因中标人原因造成采购合同无法按时签订，视为中标人违约，业主方有权解除合同，且中标人需另行支付中标金额百分之五十的赔偿；</w:t>
      </w:r>
    </w:p>
    <w:p w14:paraId="7C58470E">
      <w:pPr>
        <w:pStyle w:val="12"/>
        <w:adjustRightInd w:val="0"/>
        <w:snapToGrid w:val="0"/>
        <w:spacing w:line="400" w:lineRule="exact"/>
        <w:ind w:left="0" w:leftChars="0" w:firstLine="640"/>
        <w:rPr>
          <w:rFonts w:hint="eastAsia"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因中标人原因造成合同签订后30日内无法按标准（包括但不限于站房质量、仪器设备型号、运维水平）开展比对监测的，视为中标人违约，业主方有权解除合同，中标人除退回业主方已支付款项的，还需另行支付中标金额百分之五十的赔偿；</w:t>
      </w:r>
    </w:p>
    <w:p w14:paraId="3923FB9B">
      <w:pPr>
        <w:adjustRightInd w:val="0"/>
        <w:snapToGrid w:val="0"/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（2）在签订采购合同之后，中标人要求解除合同的，视为中标人违约，中标人需另行支付中标金额百分之五十的赔偿；</w:t>
      </w:r>
    </w:p>
    <w:p w14:paraId="5E487741">
      <w:pPr>
        <w:adjustRightInd w:val="0"/>
        <w:snapToGrid w:val="0"/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（3）因中标人原因导致比对监测暂停的，每一天扣除中标金额的百分之一；</w:t>
      </w:r>
    </w:p>
    <w:p w14:paraId="7A1DA9DB">
      <w:pPr>
        <w:adjustRightInd w:val="0"/>
        <w:snapToGrid w:val="0"/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（4）在明确违约责任后，中标人应在接到书面通知书起七个工作日内支付违约金、赔偿金等。</w:t>
      </w:r>
    </w:p>
    <w:p w14:paraId="14E7DC1D">
      <w:pPr>
        <w:pStyle w:val="11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br w:type="page"/>
      </w:r>
      <w:r>
        <w:rPr>
          <w:rFonts w:hint="eastAsia" w:ascii="Times New Roman" w:hAnsi="Times New Roman" w:cs="Times New Roman"/>
          <w:sz w:val="32"/>
          <w:szCs w:val="32"/>
        </w:rPr>
        <w:t>附件2</w:t>
      </w:r>
    </w:p>
    <w:p w14:paraId="34AFAC49">
      <w:pPr>
        <w:pStyle w:val="11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B94610A">
      <w:pPr>
        <w:pStyle w:val="11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福州市</w:t>
      </w:r>
      <w:r>
        <w:rPr>
          <w:rFonts w:hint="eastAsia" w:ascii="Times New Roman" w:hAnsi="Times New Roman" w:cs="Times New Roman"/>
          <w:b/>
          <w:bCs/>
          <w:sz w:val="40"/>
          <w:szCs w:val="40"/>
        </w:rPr>
        <w:t>五四北</w:t>
      </w:r>
      <w:r>
        <w:rPr>
          <w:rFonts w:ascii="Times New Roman" w:hAnsi="Times New Roman" w:cs="Times New Roman"/>
          <w:b/>
          <w:bCs/>
          <w:sz w:val="40"/>
          <w:szCs w:val="40"/>
        </w:rPr>
        <w:t>国控空气站点优化调整</w:t>
      </w:r>
    </w:p>
    <w:p w14:paraId="1C344D7D">
      <w:pPr>
        <w:pStyle w:val="11"/>
        <w:shd w:val="clear" w:color="auto" w:fill="FFFFFF"/>
        <w:spacing w:before="0" w:beforeAutospacing="0" w:after="0" w:afterAutospacing="0" w:line="600" w:lineRule="exact"/>
        <w:jc w:val="center"/>
        <w:rPr>
          <w:rFonts w:hint="eastAsia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比对论证服务项目</w:t>
      </w:r>
      <w:r>
        <w:rPr>
          <w:rFonts w:hint="eastAsia"/>
          <w:b/>
          <w:bCs/>
          <w:sz w:val="40"/>
          <w:szCs w:val="40"/>
        </w:rPr>
        <w:t>报价单</w:t>
      </w:r>
    </w:p>
    <w:p w14:paraId="63E1A88D">
      <w:pPr>
        <w:pStyle w:val="11"/>
        <w:shd w:val="clear" w:color="auto" w:fill="FFFFFF"/>
        <w:spacing w:before="0" w:beforeAutospacing="0" w:after="0" w:afterAutospacing="0" w:line="600" w:lineRule="exact"/>
        <w:jc w:val="center"/>
        <w:rPr>
          <w:rFonts w:hint="eastAsia"/>
          <w:b/>
          <w:bCs/>
          <w:sz w:val="44"/>
          <w:szCs w:val="44"/>
        </w:rPr>
      </w:pPr>
    </w:p>
    <w:p w14:paraId="198AD0C3">
      <w:pPr>
        <w:pStyle w:val="3"/>
        <w:spacing w:before="0" w:after="0"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供应商名称：（盖章）                   </w:t>
      </w:r>
    </w:p>
    <w:p w14:paraId="11145659">
      <w:pPr>
        <w:pStyle w:val="3"/>
        <w:spacing w:before="0" w:after="0"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                              联系电话：</w:t>
      </w:r>
    </w:p>
    <w:p w14:paraId="49D7CE7F"/>
    <w:tbl>
      <w:tblPr>
        <w:tblStyle w:val="13"/>
        <w:tblW w:w="47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4"/>
        <w:gridCol w:w="2396"/>
      </w:tblGrid>
      <w:tr w14:paraId="3A86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641" w:type="pct"/>
            <w:noWrap w:val="0"/>
            <w:vAlign w:val="center"/>
          </w:tcPr>
          <w:p w14:paraId="5E7084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项目内容</w:t>
            </w:r>
          </w:p>
        </w:tc>
        <w:tc>
          <w:tcPr>
            <w:tcW w:w="1358" w:type="pct"/>
            <w:noWrap w:val="0"/>
            <w:vAlign w:val="center"/>
          </w:tcPr>
          <w:p w14:paraId="760B1E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价（元）</w:t>
            </w:r>
          </w:p>
        </w:tc>
      </w:tr>
      <w:tr w14:paraId="32B8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3641" w:type="pct"/>
            <w:noWrap w:val="0"/>
            <w:vAlign w:val="center"/>
          </w:tcPr>
          <w:p w14:paraId="53494E8A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每个备选站点临时站房建设及3个月设备配套与运维服务，并编制论证报告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两个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备选站点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站点比对论证服务报价（请另附附报价细项表）。</w:t>
            </w:r>
          </w:p>
        </w:tc>
        <w:tc>
          <w:tcPr>
            <w:tcW w:w="1358" w:type="pct"/>
            <w:noWrap w:val="0"/>
            <w:vAlign w:val="center"/>
          </w:tcPr>
          <w:p w14:paraId="314AF572">
            <w:pPr>
              <w:jc w:val="left"/>
              <w:rPr>
                <w:sz w:val="28"/>
                <w:szCs w:val="28"/>
              </w:rPr>
            </w:pPr>
          </w:p>
        </w:tc>
      </w:tr>
    </w:tbl>
    <w:p w14:paraId="373CC0BC">
      <w:pPr>
        <w:widowControl/>
        <w:spacing w:before="100" w:beforeAutospacing="1" w:after="100" w:afterAutospacing="1" w:line="360" w:lineRule="atLeast"/>
        <w:jc w:val="left"/>
        <w:rPr>
          <w:rFonts w:ascii="宋体" w:hAnsi="宋体" w:cs="宋体"/>
          <w:kern w:val="0"/>
          <w:sz w:val="24"/>
        </w:rPr>
      </w:pPr>
    </w:p>
    <w:sectPr>
      <w:head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A1967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9C274"/>
    <w:multiLevelType w:val="singleLevel"/>
    <w:tmpl w:val="6B19C27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ZjE4Yjc4NmZjN2Y3ZWY3NGY0NGZjMzk1YjYzMmYifQ=="/>
  </w:docVars>
  <w:rsids>
    <w:rsidRoot w:val="008C58A4"/>
    <w:rsid w:val="000147F8"/>
    <w:rsid w:val="000425A6"/>
    <w:rsid w:val="00064C20"/>
    <w:rsid w:val="00065749"/>
    <w:rsid w:val="00077FF8"/>
    <w:rsid w:val="00092E39"/>
    <w:rsid w:val="000A0D1B"/>
    <w:rsid w:val="000A47BD"/>
    <w:rsid w:val="000B2F57"/>
    <w:rsid w:val="000C17A1"/>
    <w:rsid w:val="000C4CBB"/>
    <w:rsid w:val="000D40CE"/>
    <w:rsid w:val="000E6E0E"/>
    <w:rsid w:val="00131B77"/>
    <w:rsid w:val="00157C6F"/>
    <w:rsid w:val="00193B7A"/>
    <w:rsid w:val="001A5D69"/>
    <w:rsid w:val="001C4B3C"/>
    <w:rsid w:val="001D2505"/>
    <w:rsid w:val="001E0EF3"/>
    <w:rsid w:val="00205B4C"/>
    <w:rsid w:val="00227A58"/>
    <w:rsid w:val="002444AA"/>
    <w:rsid w:val="00256C5A"/>
    <w:rsid w:val="00263DE2"/>
    <w:rsid w:val="0027057E"/>
    <w:rsid w:val="00272CD5"/>
    <w:rsid w:val="00280985"/>
    <w:rsid w:val="00284544"/>
    <w:rsid w:val="002862C9"/>
    <w:rsid w:val="00291982"/>
    <w:rsid w:val="002B0819"/>
    <w:rsid w:val="002E7F19"/>
    <w:rsid w:val="002F2A32"/>
    <w:rsid w:val="002F707F"/>
    <w:rsid w:val="00305C23"/>
    <w:rsid w:val="003225C3"/>
    <w:rsid w:val="00324544"/>
    <w:rsid w:val="003263B4"/>
    <w:rsid w:val="00362321"/>
    <w:rsid w:val="003632D6"/>
    <w:rsid w:val="00367FF3"/>
    <w:rsid w:val="00371475"/>
    <w:rsid w:val="00380CAD"/>
    <w:rsid w:val="003B142E"/>
    <w:rsid w:val="003C1E20"/>
    <w:rsid w:val="003C2584"/>
    <w:rsid w:val="003D3CC0"/>
    <w:rsid w:val="003D48B9"/>
    <w:rsid w:val="003E4BD7"/>
    <w:rsid w:val="003E4D4B"/>
    <w:rsid w:val="003E6FB8"/>
    <w:rsid w:val="003F6611"/>
    <w:rsid w:val="004150D9"/>
    <w:rsid w:val="004252C2"/>
    <w:rsid w:val="00433ABC"/>
    <w:rsid w:val="00437D70"/>
    <w:rsid w:val="004409AE"/>
    <w:rsid w:val="00456485"/>
    <w:rsid w:val="00457520"/>
    <w:rsid w:val="00457963"/>
    <w:rsid w:val="00472C23"/>
    <w:rsid w:val="00475619"/>
    <w:rsid w:val="0048042B"/>
    <w:rsid w:val="004970ED"/>
    <w:rsid w:val="004A6E69"/>
    <w:rsid w:val="004B50AC"/>
    <w:rsid w:val="004C03BD"/>
    <w:rsid w:val="004D4C5C"/>
    <w:rsid w:val="00501C36"/>
    <w:rsid w:val="0052033D"/>
    <w:rsid w:val="00522111"/>
    <w:rsid w:val="00522BD2"/>
    <w:rsid w:val="005444D8"/>
    <w:rsid w:val="00556BDE"/>
    <w:rsid w:val="00562956"/>
    <w:rsid w:val="00572763"/>
    <w:rsid w:val="005759E3"/>
    <w:rsid w:val="00575E80"/>
    <w:rsid w:val="005B1C19"/>
    <w:rsid w:val="005C22CD"/>
    <w:rsid w:val="005C5BA3"/>
    <w:rsid w:val="00603629"/>
    <w:rsid w:val="00623806"/>
    <w:rsid w:val="00627769"/>
    <w:rsid w:val="006352B8"/>
    <w:rsid w:val="006726A0"/>
    <w:rsid w:val="00676C12"/>
    <w:rsid w:val="00693F70"/>
    <w:rsid w:val="006946AC"/>
    <w:rsid w:val="006A4910"/>
    <w:rsid w:val="006D690A"/>
    <w:rsid w:val="006E6994"/>
    <w:rsid w:val="00700403"/>
    <w:rsid w:val="007212B6"/>
    <w:rsid w:val="00735054"/>
    <w:rsid w:val="007574CE"/>
    <w:rsid w:val="00761C95"/>
    <w:rsid w:val="0076473E"/>
    <w:rsid w:val="00764B1B"/>
    <w:rsid w:val="0077304E"/>
    <w:rsid w:val="00775741"/>
    <w:rsid w:val="00784640"/>
    <w:rsid w:val="00793CEF"/>
    <w:rsid w:val="007943C9"/>
    <w:rsid w:val="00795A51"/>
    <w:rsid w:val="007B3920"/>
    <w:rsid w:val="007C266B"/>
    <w:rsid w:val="007C2FCC"/>
    <w:rsid w:val="007C5BEA"/>
    <w:rsid w:val="007D1886"/>
    <w:rsid w:val="007D6F75"/>
    <w:rsid w:val="007F7FDD"/>
    <w:rsid w:val="00833EE7"/>
    <w:rsid w:val="00843575"/>
    <w:rsid w:val="00847C93"/>
    <w:rsid w:val="008550BE"/>
    <w:rsid w:val="00856050"/>
    <w:rsid w:val="00895FA8"/>
    <w:rsid w:val="008A6AC9"/>
    <w:rsid w:val="008C3956"/>
    <w:rsid w:val="008C58A4"/>
    <w:rsid w:val="008D7057"/>
    <w:rsid w:val="008E77F5"/>
    <w:rsid w:val="0090301F"/>
    <w:rsid w:val="00914845"/>
    <w:rsid w:val="00917C2D"/>
    <w:rsid w:val="00933D6A"/>
    <w:rsid w:val="009351F0"/>
    <w:rsid w:val="009604FD"/>
    <w:rsid w:val="009734C8"/>
    <w:rsid w:val="00974BAB"/>
    <w:rsid w:val="00980382"/>
    <w:rsid w:val="009A28D8"/>
    <w:rsid w:val="009A4B56"/>
    <w:rsid w:val="009A5136"/>
    <w:rsid w:val="009D32BF"/>
    <w:rsid w:val="009E0181"/>
    <w:rsid w:val="009E3963"/>
    <w:rsid w:val="009E5333"/>
    <w:rsid w:val="00A03F6D"/>
    <w:rsid w:val="00A14A7F"/>
    <w:rsid w:val="00A16313"/>
    <w:rsid w:val="00A40548"/>
    <w:rsid w:val="00A42082"/>
    <w:rsid w:val="00A509AE"/>
    <w:rsid w:val="00A957AB"/>
    <w:rsid w:val="00AA0C24"/>
    <w:rsid w:val="00AA2017"/>
    <w:rsid w:val="00AB1277"/>
    <w:rsid w:val="00AB1BAC"/>
    <w:rsid w:val="00AB25EA"/>
    <w:rsid w:val="00AC2D9E"/>
    <w:rsid w:val="00AD601E"/>
    <w:rsid w:val="00AE397C"/>
    <w:rsid w:val="00AE42FB"/>
    <w:rsid w:val="00B126E6"/>
    <w:rsid w:val="00B1571B"/>
    <w:rsid w:val="00B33C54"/>
    <w:rsid w:val="00B40B8C"/>
    <w:rsid w:val="00B504B0"/>
    <w:rsid w:val="00B54571"/>
    <w:rsid w:val="00B62475"/>
    <w:rsid w:val="00B74E6D"/>
    <w:rsid w:val="00B770C6"/>
    <w:rsid w:val="00B90788"/>
    <w:rsid w:val="00BF19EC"/>
    <w:rsid w:val="00C2137C"/>
    <w:rsid w:val="00C3540C"/>
    <w:rsid w:val="00C36CAA"/>
    <w:rsid w:val="00C40069"/>
    <w:rsid w:val="00C5049B"/>
    <w:rsid w:val="00C74704"/>
    <w:rsid w:val="00C9019B"/>
    <w:rsid w:val="00CB603E"/>
    <w:rsid w:val="00CD38F7"/>
    <w:rsid w:val="00CF0D6C"/>
    <w:rsid w:val="00CF151C"/>
    <w:rsid w:val="00D03407"/>
    <w:rsid w:val="00D077CB"/>
    <w:rsid w:val="00D3254B"/>
    <w:rsid w:val="00D422D9"/>
    <w:rsid w:val="00D45F14"/>
    <w:rsid w:val="00D501BC"/>
    <w:rsid w:val="00D57E38"/>
    <w:rsid w:val="00D71FE8"/>
    <w:rsid w:val="00D82DE5"/>
    <w:rsid w:val="00D92346"/>
    <w:rsid w:val="00DC1815"/>
    <w:rsid w:val="00E00A75"/>
    <w:rsid w:val="00E05635"/>
    <w:rsid w:val="00E20F49"/>
    <w:rsid w:val="00E219FE"/>
    <w:rsid w:val="00E36E88"/>
    <w:rsid w:val="00E67900"/>
    <w:rsid w:val="00E7783F"/>
    <w:rsid w:val="00E811E8"/>
    <w:rsid w:val="00E86C57"/>
    <w:rsid w:val="00E93A2E"/>
    <w:rsid w:val="00EC1FB4"/>
    <w:rsid w:val="00EC33D7"/>
    <w:rsid w:val="00EC632E"/>
    <w:rsid w:val="00ED0E98"/>
    <w:rsid w:val="00EF3741"/>
    <w:rsid w:val="00F51752"/>
    <w:rsid w:val="00F563DE"/>
    <w:rsid w:val="00F614C9"/>
    <w:rsid w:val="010256DD"/>
    <w:rsid w:val="038C24B9"/>
    <w:rsid w:val="053B54CB"/>
    <w:rsid w:val="07243D36"/>
    <w:rsid w:val="082D3656"/>
    <w:rsid w:val="08647174"/>
    <w:rsid w:val="0A2E1934"/>
    <w:rsid w:val="0A712BE5"/>
    <w:rsid w:val="0A9F71A7"/>
    <w:rsid w:val="0AF74245"/>
    <w:rsid w:val="0B4C0874"/>
    <w:rsid w:val="0C503E97"/>
    <w:rsid w:val="0D332483"/>
    <w:rsid w:val="0F4A4090"/>
    <w:rsid w:val="12A25BA4"/>
    <w:rsid w:val="13205E3C"/>
    <w:rsid w:val="14A52DAD"/>
    <w:rsid w:val="15E04165"/>
    <w:rsid w:val="17912072"/>
    <w:rsid w:val="191176B5"/>
    <w:rsid w:val="19B24EEE"/>
    <w:rsid w:val="1A4921CC"/>
    <w:rsid w:val="1A9B2061"/>
    <w:rsid w:val="1C27704A"/>
    <w:rsid w:val="1C2C37F3"/>
    <w:rsid w:val="1D2808BD"/>
    <w:rsid w:val="1DB42B9C"/>
    <w:rsid w:val="1DB6202B"/>
    <w:rsid w:val="1E3448F6"/>
    <w:rsid w:val="1E996526"/>
    <w:rsid w:val="204A6D86"/>
    <w:rsid w:val="20BF03EC"/>
    <w:rsid w:val="23A14057"/>
    <w:rsid w:val="24196CBD"/>
    <w:rsid w:val="24AC4709"/>
    <w:rsid w:val="25E0166D"/>
    <w:rsid w:val="278A3849"/>
    <w:rsid w:val="27AA7569"/>
    <w:rsid w:val="28EF2464"/>
    <w:rsid w:val="297764C0"/>
    <w:rsid w:val="298E470C"/>
    <w:rsid w:val="299B579E"/>
    <w:rsid w:val="2C464286"/>
    <w:rsid w:val="2EC357E1"/>
    <w:rsid w:val="2EDD55EF"/>
    <w:rsid w:val="2EF53C55"/>
    <w:rsid w:val="2FC4281F"/>
    <w:rsid w:val="317E7F06"/>
    <w:rsid w:val="318860AC"/>
    <w:rsid w:val="31E311C6"/>
    <w:rsid w:val="32445101"/>
    <w:rsid w:val="33751E83"/>
    <w:rsid w:val="355B444A"/>
    <w:rsid w:val="368801DD"/>
    <w:rsid w:val="373E27F2"/>
    <w:rsid w:val="379423C4"/>
    <w:rsid w:val="37AE314B"/>
    <w:rsid w:val="385C5AA1"/>
    <w:rsid w:val="38D827EE"/>
    <w:rsid w:val="3AE1740A"/>
    <w:rsid w:val="3C1D3AEE"/>
    <w:rsid w:val="3C927D24"/>
    <w:rsid w:val="3D1E3074"/>
    <w:rsid w:val="3D375C90"/>
    <w:rsid w:val="3E7C6B7E"/>
    <w:rsid w:val="3ECB3C86"/>
    <w:rsid w:val="3EDF3541"/>
    <w:rsid w:val="3FA45DB0"/>
    <w:rsid w:val="40636272"/>
    <w:rsid w:val="40FC6DF6"/>
    <w:rsid w:val="41EE2C21"/>
    <w:rsid w:val="42082CD1"/>
    <w:rsid w:val="4214405D"/>
    <w:rsid w:val="42D178EC"/>
    <w:rsid w:val="43CD7553"/>
    <w:rsid w:val="43EB165B"/>
    <w:rsid w:val="473624D6"/>
    <w:rsid w:val="47A851F4"/>
    <w:rsid w:val="47B76DB7"/>
    <w:rsid w:val="483C39E1"/>
    <w:rsid w:val="49580D31"/>
    <w:rsid w:val="49AB189B"/>
    <w:rsid w:val="4BA43E00"/>
    <w:rsid w:val="4BAB7958"/>
    <w:rsid w:val="4BC85FF0"/>
    <w:rsid w:val="4C2316F8"/>
    <w:rsid w:val="4D0F0E7B"/>
    <w:rsid w:val="4E121F7C"/>
    <w:rsid w:val="4E2F7BC5"/>
    <w:rsid w:val="4E574F9C"/>
    <w:rsid w:val="50DB403C"/>
    <w:rsid w:val="5173759E"/>
    <w:rsid w:val="519F5E95"/>
    <w:rsid w:val="53CC3E24"/>
    <w:rsid w:val="541805F6"/>
    <w:rsid w:val="54AA27FD"/>
    <w:rsid w:val="552C60EE"/>
    <w:rsid w:val="554C6F7B"/>
    <w:rsid w:val="55C01BFC"/>
    <w:rsid w:val="5689327F"/>
    <w:rsid w:val="568E2448"/>
    <w:rsid w:val="5753331E"/>
    <w:rsid w:val="57646ADA"/>
    <w:rsid w:val="5A3F6F33"/>
    <w:rsid w:val="5BAB65F0"/>
    <w:rsid w:val="5CCE538A"/>
    <w:rsid w:val="5D6D2EC8"/>
    <w:rsid w:val="601838CD"/>
    <w:rsid w:val="628A7E53"/>
    <w:rsid w:val="63553DC5"/>
    <w:rsid w:val="64263B13"/>
    <w:rsid w:val="649713C3"/>
    <w:rsid w:val="652B299C"/>
    <w:rsid w:val="65323A8C"/>
    <w:rsid w:val="654E4655"/>
    <w:rsid w:val="658B2AC5"/>
    <w:rsid w:val="65DC3209"/>
    <w:rsid w:val="667D3292"/>
    <w:rsid w:val="66D361A7"/>
    <w:rsid w:val="67180C29"/>
    <w:rsid w:val="68A57691"/>
    <w:rsid w:val="696A6934"/>
    <w:rsid w:val="69861B15"/>
    <w:rsid w:val="69BD19C1"/>
    <w:rsid w:val="69C10BF4"/>
    <w:rsid w:val="6B0513D9"/>
    <w:rsid w:val="6CAC3E3B"/>
    <w:rsid w:val="6CF657D2"/>
    <w:rsid w:val="6DEC7FB9"/>
    <w:rsid w:val="6F3918FF"/>
    <w:rsid w:val="7052306F"/>
    <w:rsid w:val="70644A65"/>
    <w:rsid w:val="727B2F78"/>
    <w:rsid w:val="73273489"/>
    <w:rsid w:val="73D105B8"/>
    <w:rsid w:val="73D3487F"/>
    <w:rsid w:val="752D78B7"/>
    <w:rsid w:val="762C5481"/>
    <w:rsid w:val="77066ED9"/>
    <w:rsid w:val="77920B4D"/>
    <w:rsid w:val="77B371DB"/>
    <w:rsid w:val="77E70674"/>
    <w:rsid w:val="78454481"/>
    <w:rsid w:val="79A23552"/>
    <w:rsid w:val="7A232D99"/>
    <w:rsid w:val="7C694DCD"/>
    <w:rsid w:val="7D3D1348"/>
    <w:rsid w:val="7E864801"/>
    <w:rsid w:val="7EE42A96"/>
    <w:rsid w:val="7EFF3A5D"/>
    <w:rsid w:val="7F0C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basedOn w:val="1"/>
    <w:next w:val="1"/>
    <w:qFormat/>
    <w:uiPriority w:val="0"/>
    <w:pPr>
      <w:jc w:val="left"/>
    </w:pPr>
    <w:rPr>
      <w:color w:val="000000"/>
      <w:szCs w:val="21"/>
    </w:rPr>
  </w:style>
  <w:style w:type="paragraph" w:styleId="6">
    <w:name w:val="Body Text"/>
    <w:basedOn w:val="1"/>
    <w:next w:val="5"/>
    <w:qFormat/>
    <w:uiPriority w:val="0"/>
    <w:pPr>
      <w:spacing w:after="120"/>
    </w:pPr>
    <w:rPr>
      <w:rFonts w:ascii="Calibri" w:hAnsi="Calibri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  <w:rPr>
      <w:szCs w:val="22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0"/>
    <w:rPr>
      <w:b/>
      <w:bCs/>
    </w:rPr>
  </w:style>
  <w:style w:type="character" w:styleId="17">
    <w:name w:val="FollowedHyperlink"/>
    <w:basedOn w:val="15"/>
    <w:autoRedefine/>
    <w:qFormat/>
    <w:uiPriority w:val="0"/>
    <w:rPr>
      <w:color w:val="333333"/>
      <w:u w:val="none"/>
    </w:rPr>
  </w:style>
  <w:style w:type="character" w:styleId="18">
    <w:name w:val="Hyperlink"/>
    <w:basedOn w:val="15"/>
    <w:autoRedefine/>
    <w:qFormat/>
    <w:uiPriority w:val="0"/>
    <w:rPr>
      <w:color w:val="0000FF"/>
      <w:u w:val="single"/>
    </w:rPr>
  </w:style>
  <w:style w:type="character" w:customStyle="1" w:styleId="19">
    <w:name w:val="apple-converted-space"/>
    <w:basedOn w:val="15"/>
    <w:qFormat/>
    <w:uiPriority w:val="0"/>
  </w:style>
  <w:style w:type="character" w:customStyle="1" w:styleId="20">
    <w:name w:val="页眉 Char"/>
    <w:basedOn w:val="15"/>
    <w:link w:val="10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question"/>
    <w:basedOn w:val="15"/>
    <w:autoRedefine/>
    <w:qFormat/>
    <w:uiPriority w:val="0"/>
    <w:rPr>
      <w:color w:val="D00500"/>
    </w:rPr>
  </w:style>
  <w:style w:type="character" w:customStyle="1" w:styleId="25">
    <w:name w:val="no_bor_bot"/>
    <w:basedOn w:val="15"/>
    <w:autoRedefine/>
    <w:qFormat/>
    <w:uiPriority w:val="0"/>
  </w:style>
  <w:style w:type="character" w:customStyle="1" w:styleId="26">
    <w:name w:val="no_bor_bot1"/>
    <w:basedOn w:val="15"/>
    <w:autoRedefine/>
    <w:qFormat/>
    <w:uiPriority w:val="0"/>
  </w:style>
  <w:style w:type="character" w:customStyle="1" w:styleId="27">
    <w:name w:val="fgx"/>
    <w:basedOn w:val="15"/>
    <w:autoRedefine/>
    <w:qFormat/>
    <w:uiPriority w:val="0"/>
  </w:style>
  <w:style w:type="character" w:customStyle="1" w:styleId="28">
    <w:name w:val="r_tit"/>
    <w:basedOn w:val="15"/>
    <w:autoRedefine/>
    <w:qFormat/>
    <w:uiPriority w:val="0"/>
    <w:rPr>
      <w:b/>
      <w:color w:val="E40000"/>
    </w:rPr>
  </w:style>
  <w:style w:type="character" w:customStyle="1" w:styleId="29">
    <w:name w:val="bt"/>
    <w:basedOn w:val="15"/>
    <w:qFormat/>
    <w:uiPriority w:val="0"/>
    <w:rPr>
      <w:color w:val="FF0000"/>
    </w:rPr>
  </w:style>
  <w:style w:type="character" w:customStyle="1" w:styleId="30">
    <w:name w:val="tit"/>
    <w:basedOn w:val="15"/>
    <w:autoRedefine/>
    <w:qFormat/>
    <w:uiPriority w:val="0"/>
    <w:rPr>
      <w:b/>
      <w:color w:val="E40000"/>
    </w:rPr>
  </w:style>
  <w:style w:type="character" w:customStyle="1" w:styleId="31">
    <w:name w:val="tit1"/>
    <w:basedOn w:val="15"/>
    <w:autoRedefine/>
    <w:qFormat/>
    <w:uiPriority w:val="0"/>
  </w:style>
  <w:style w:type="character" w:customStyle="1" w:styleId="32">
    <w:name w:val="tit2"/>
    <w:basedOn w:val="15"/>
    <w:autoRedefine/>
    <w:qFormat/>
    <w:uiPriority w:val="0"/>
  </w:style>
  <w:style w:type="character" w:customStyle="1" w:styleId="33">
    <w:name w:val="tit3"/>
    <w:basedOn w:val="15"/>
    <w:autoRedefine/>
    <w:qFormat/>
    <w:uiPriority w:val="0"/>
  </w:style>
  <w:style w:type="character" w:customStyle="1" w:styleId="34">
    <w:name w:val="tit4"/>
    <w:basedOn w:val="15"/>
    <w:qFormat/>
    <w:uiPriority w:val="0"/>
  </w:style>
  <w:style w:type="character" w:customStyle="1" w:styleId="35">
    <w:name w:val="tit5"/>
    <w:basedOn w:val="15"/>
    <w:autoRedefine/>
    <w:qFormat/>
    <w:uiPriority w:val="0"/>
    <w:rPr>
      <w:b/>
      <w:color w:val="E40000"/>
    </w:rPr>
  </w:style>
  <w:style w:type="character" w:customStyle="1" w:styleId="36">
    <w:name w:val="tit6"/>
    <w:basedOn w:val="15"/>
    <w:autoRedefine/>
    <w:qFormat/>
    <w:uiPriority w:val="0"/>
    <w:rPr>
      <w:b/>
      <w:color w:val="E40000"/>
    </w:rPr>
  </w:style>
  <w:style w:type="character" w:customStyle="1" w:styleId="37">
    <w:name w:val="hr"/>
    <w:basedOn w:val="15"/>
    <w:autoRedefine/>
    <w:qFormat/>
    <w:uiPriority w:val="0"/>
    <w:rPr>
      <w:b/>
      <w:color w:val="999999"/>
    </w:rPr>
  </w:style>
  <w:style w:type="character" w:customStyle="1" w:styleId="38">
    <w:name w:val="sq_tit"/>
    <w:basedOn w:val="15"/>
    <w:autoRedefine/>
    <w:qFormat/>
    <w:uiPriority w:val="0"/>
    <w:rPr>
      <w:b/>
      <w:sz w:val="21"/>
      <w:szCs w:val="21"/>
    </w:rPr>
  </w:style>
  <w:style w:type="character" w:customStyle="1" w:styleId="39">
    <w:name w:val="no_top"/>
    <w:basedOn w:val="15"/>
    <w:autoRedefine/>
    <w:qFormat/>
    <w:uiPriority w:val="0"/>
  </w:style>
  <w:style w:type="character" w:customStyle="1" w:styleId="40">
    <w:name w:val="state"/>
    <w:basedOn w:val="15"/>
    <w:qFormat/>
    <w:uiPriority w:val="0"/>
  </w:style>
  <w:style w:type="character" w:customStyle="1" w:styleId="41">
    <w:name w:val="l_name"/>
    <w:basedOn w:val="15"/>
    <w:qFormat/>
    <w:uiPriority w:val="0"/>
    <w:rPr>
      <w:color w:val="333333"/>
    </w:rPr>
  </w:style>
  <w:style w:type="character" w:customStyle="1" w:styleId="42">
    <w:name w:val="more1"/>
    <w:basedOn w:val="15"/>
    <w:qFormat/>
    <w:uiPriority w:val="0"/>
  </w:style>
  <w:style w:type="character" w:customStyle="1" w:styleId="43">
    <w:name w:val="pro2"/>
    <w:basedOn w:val="15"/>
    <w:qFormat/>
    <w:uiPriority w:val="0"/>
    <w:rPr>
      <w:color w:val="FF0000"/>
    </w:rPr>
  </w:style>
  <w:style w:type="character" w:customStyle="1" w:styleId="44">
    <w:name w:val="statistics"/>
    <w:basedOn w:val="15"/>
    <w:qFormat/>
    <w:uiPriority w:val="0"/>
    <w:rPr>
      <w:color w:val="C1C1C1"/>
    </w:rPr>
  </w:style>
  <w:style w:type="character" w:customStyle="1" w:styleId="45">
    <w:name w:val="jqr_inx"/>
    <w:basedOn w:val="15"/>
    <w:qFormat/>
    <w:uiPriority w:val="0"/>
  </w:style>
  <w:style w:type="character" w:customStyle="1" w:styleId="46">
    <w:name w:val="no_r_mar"/>
    <w:basedOn w:val="15"/>
    <w:qFormat/>
    <w:uiPriority w:val="0"/>
  </w:style>
  <w:style w:type="character" w:customStyle="1" w:styleId="47">
    <w:name w:val="t_l"/>
    <w:basedOn w:val="15"/>
    <w:qFormat/>
    <w:uiPriority w:val="0"/>
    <w:rPr>
      <w:b/>
      <w:color w:val="E40000"/>
    </w:rPr>
  </w:style>
  <w:style w:type="character" w:customStyle="1" w:styleId="48">
    <w:name w:val="content4"/>
    <w:basedOn w:val="15"/>
    <w:qFormat/>
    <w:uiPriority w:val="0"/>
  </w:style>
  <w:style w:type="character" w:customStyle="1" w:styleId="49">
    <w:name w:val="t_listbox_a1"/>
    <w:basedOn w:val="15"/>
    <w:qFormat/>
    <w:uiPriority w:val="0"/>
  </w:style>
  <w:style w:type="character" w:customStyle="1" w:styleId="50">
    <w:name w:val="listcontenttit"/>
    <w:basedOn w:val="15"/>
    <w:qFormat/>
    <w:uiPriority w:val="0"/>
    <w:rPr>
      <w:sz w:val="30"/>
      <w:szCs w:val="30"/>
    </w:rPr>
  </w:style>
  <w:style w:type="character" w:customStyle="1" w:styleId="51">
    <w:name w:val="tit_web"/>
    <w:basedOn w:val="15"/>
    <w:qFormat/>
    <w:uiPriority w:val="0"/>
    <w:rPr>
      <w:color w:val="FFFFFF"/>
    </w:rPr>
  </w:style>
  <w:style w:type="character" w:customStyle="1" w:styleId="52">
    <w:name w:val="mailbox"/>
    <w:basedOn w:val="15"/>
    <w:qFormat/>
    <w:uiPriority w:val="0"/>
  </w:style>
  <w:style w:type="character" w:customStyle="1" w:styleId="53">
    <w:name w:val="quality_inx"/>
    <w:basedOn w:val="15"/>
    <w:qFormat/>
    <w:uiPriority w:val="0"/>
  </w:style>
  <w:style w:type="character" w:customStyle="1" w:styleId="54">
    <w:name w:val="logo2"/>
    <w:basedOn w:val="15"/>
    <w:qFormat/>
    <w:uiPriority w:val="0"/>
  </w:style>
  <w:style w:type="character" w:customStyle="1" w:styleId="55">
    <w:name w:val="s1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2358</Words>
  <Characters>2458</Characters>
  <Lines>1</Lines>
  <Paragraphs>3</Paragraphs>
  <TotalTime>3</TotalTime>
  <ScaleCrop>false</ScaleCrop>
  <LinksUpToDate>false</LinksUpToDate>
  <CharactersWithSpaces>2528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2021-06-30T09:38:00Z</dcterms:created>
  <dc:creator>微软用户</dc:creator>
  <cp:lastModifiedBy>Administrator</cp:lastModifiedBy>
  <cp:lastPrinted>2024-06-11T01:17:00Z</cp:lastPrinted>
  <dcterms:modified xsi:type="dcterms:W3CDTF">2024-09-14T09:48:02Z</dcterms:modified>
  <dc:title>福州市鼓楼区环境保护局信息上网审批表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1056ED4653FC4473BE0A567800E6C788_13</vt:lpwstr>
  </property>
</Properties>
</file>