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rPr>
          <w:rFonts w:ascii="黑体" w:hAnsi="黑体" w:eastAsia="黑体"/>
          <w:sz w:val="32"/>
          <w:szCs w:val="32"/>
        </w:rPr>
      </w:pPr>
      <w:r>
        <w:rPr>
          <w:rFonts w:hint="eastAsia" w:ascii="黑体" w:hAnsi="黑体" w:eastAsia="黑体"/>
          <w:sz w:val="32"/>
          <w:szCs w:val="32"/>
        </w:rPr>
        <w:t>附件：</w:t>
      </w:r>
      <w:r>
        <w:rPr>
          <w:rFonts w:eastAsia="黑体"/>
          <w:sz w:val="32"/>
          <w:szCs w:val="32"/>
        </w:rPr>
        <w:t> </w:t>
      </w:r>
    </w:p>
    <w:p>
      <w:pPr>
        <w:pStyle w:val="6"/>
        <w:jc w:val="center"/>
        <w:rPr>
          <w:rFonts w:hint="eastAsia" w:ascii="方正小标宋简体" w:hAnsi="宋体" w:eastAsia="方正小标宋简体"/>
          <w:sz w:val="36"/>
        </w:rPr>
      </w:pPr>
      <w:r>
        <w:rPr>
          <w:rFonts w:hint="eastAsia" w:ascii="方正小标宋简体" w:hAnsi="宋体" w:eastAsia="方正小标宋简体"/>
          <w:sz w:val="36"/>
        </w:rPr>
        <w:t>供应商须知</w:t>
      </w:r>
    </w:p>
    <w:p>
      <w:pPr>
        <w:spacing w:line="360" w:lineRule="auto"/>
        <w:ind w:firstLine="480" w:firstLineChars="200"/>
        <w:rPr>
          <w:rFonts w:ascii="宋体" w:hAnsi="宋体"/>
          <w:bCs/>
          <w:sz w:val="24"/>
        </w:rPr>
      </w:pPr>
      <w:r>
        <w:rPr>
          <w:rFonts w:hint="eastAsia" w:ascii="宋体" w:hAnsi="宋体"/>
          <w:bCs/>
          <w:sz w:val="24"/>
        </w:rPr>
        <w:t>凡有能力提供本招标文件所述货物及服务，具备相关法律法规、行政规章条例和本招标文件中规定的参加采购活动应当具备的条件的境内法人均可能成为合格的投标人。并提交以下资质证明文件：</w:t>
      </w:r>
    </w:p>
    <w:p>
      <w:pPr>
        <w:spacing w:line="360" w:lineRule="auto"/>
        <w:ind w:firstLine="360" w:firstLineChars="150"/>
        <w:rPr>
          <w:rFonts w:ascii="宋体" w:hAnsi="宋体"/>
          <w:bCs/>
          <w:sz w:val="24"/>
        </w:rPr>
      </w:pPr>
      <w:r>
        <w:rPr>
          <w:rFonts w:hint="eastAsia" w:ascii="宋体" w:hAnsi="宋体"/>
          <w:bCs/>
          <w:sz w:val="24"/>
        </w:rPr>
        <w:t>（</w:t>
      </w:r>
      <w:r>
        <w:rPr>
          <w:rFonts w:ascii="宋体" w:hAnsi="宋体"/>
          <w:bCs/>
          <w:sz w:val="24"/>
        </w:rPr>
        <w:t>1</w:t>
      </w:r>
      <w:r>
        <w:rPr>
          <w:rFonts w:hint="eastAsia" w:ascii="宋体" w:hAnsi="宋体"/>
          <w:bCs/>
          <w:sz w:val="24"/>
        </w:rPr>
        <w:t>）营业执照副本复印件、税务登记证副本复印件、组织机构代码证副本复印件（若营业执照已更换为具备统一社会信用代码的投标人则无需提供税务登记证副本复印件及组织机构代码证副本复印件）；经营范围需包含本次招标采购服务的内容：档案整理、档案数字化加工服务。</w:t>
      </w:r>
    </w:p>
    <w:p>
      <w:pPr>
        <w:spacing w:line="360" w:lineRule="auto"/>
        <w:ind w:firstLine="360" w:firstLineChars="150"/>
        <w:rPr>
          <w:rFonts w:hint="eastAsia" w:ascii="宋体" w:hAnsi="宋体"/>
          <w:bCs/>
          <w:sz w:val="24"/>
        </w:rPr>
      </w:pPr>
      <w:r>
        <w:rPr>
          <w:rFonts w:hint="eastAsia" w:ascii="宋体" w:hAnsi="宋体"/>
          <w:bCs/>
          <w:sz w:val="24"/>
        </w:rPr>
        <w:t>（</w:t>
      </w:r>
      <w:r>
        <w:rPr>
          <w:rFonts w:ascii="宋体" w:hAnsi="宋体"/>
          <w:bCs/>
          <w:sz w:val="24"/>
        </w:rPr>
        <w:t>2</w:t>
      </w:r>
      <w:r>
        <w:rPr>
          <w:rFonts w:hint="eastAsia" w:ascii="宋体" w:hAnsi="宋体"/>
          <w:bCs/>
          <w:sz w:val="24"/>
        </w:rPr>
        <w:t>）承担档案数字化工作的档案服务投标人应当具备下列条件：</w:t>
      </w:r>
    </w:p>
    <w:p>
      <w:pPr>
        <w:spacing w:line="360" w:lineRule="auto"/>
        <w:ind w:firstLine="360" w:firstLineChars="150"/>
        <w:rPr>
          <w:rFonts w:hint="eastAsia" w:ascii="宋体" w:hAnsi="宋体"/>
          <w:bCs/>
          <w:sz w:val="24"/>
        </w:rPr>
      </w:pPr>
      <w:r>
        <w:rPr>
          <w:rFonts w:hint="eastAsia" w:ascii="宋体" w:hAnsi="宋体"/>
          <w:bCs/>
          <w:sz w:val="24"/>
        </w:rPr>
        <w:t xml:space="preserve"> ①在中华人民共和国境内登记注册的企业或事业法人；②无境外（含港澳台）组织、机构、人员投资；③参与档案数字化工作的操作人员和管理人员为中华人民共和国境内公民，与所在档案服务机构签订劳动合同；④三年来未发生泄密事件和非法获取、非法持有国家秘密载体等保密违法行为记录。</w:t>
      </w:r>
    </w:p>
    <w:p>
      <w:pPr>
        <w:spacing w:line="360" w:lineRule="auto"/>
        <w:ind w:firstLine="360" w:firstLineChars="150"/>
        <w:rPr>
          <w:rFonts w:hint="eastAsia" w:ascii="宋体" w:hAnsi="宋体"/>
          <w:bCs/>
          <w:sz w:val="24"/>
        </w:rPr>
      </w:pPr>
      <w:r>
        <w:rPr>
          <w:rFonts w:hint="eastAsia" w:ascii="宋体" w:hAnsi="宋体"/>
          <w:bCs/>
          <w:sz w:val="24"/>
        </w:rPr>
        <w:t>（3）法定代表人授权书原件签字或加盖公章，投标代表是法定代表人无需。</w:t>
      </w:r>
    </w:p>
    <w:p>
      <w:pPr>
        <w:spacing w:line="360" w:lineRule="auto"/>
        <w:ind w:firstLine="360" w:firstLineChars="150"/>
        <w:rPr>
          <w:rFonts w:hint="eastAsia" w:ascii="宋体" w:hAnsi="宋体" w:cs="宋体"/>
          <w:sz w:val="24"/>
        </w:rPr>
      </w:pPr>
      <w:r>
        <w:rPr>
          <w:rFonts w:hint="eastAsia" w:ascii="宋体" w:hAnsi="宋体"/>
          <w:bCs/>
          <w:sz w:val="24"/>
        </w:rPr>
        <w:t>（4）具备履行合同所必需的设备和专业技术能力的证明材料；</w:t>
      </w:r>
      <w:r>
        <w:rPr>
          <w:rFonts w:ascii="宋体" w:hAnsi="宋体" w:cs="宋体"/>
          <w:sz w:val="24"/>
        </w:rPr>
        <w:t>(</w:t>
      </w:r>
      <w:r>
        <w:rPr>
          <w:rFonts w:hint="eastAsia" w:ascii="宋体" w:hAnsi="宋体" w:cs="宋体"/>
          <w:sz w:val="24"/>
        </w:rPr>
        <w:t>履行本项目的设备清单及参与本项目主要人员名单列表</w:t>
      </w:r>
      <w:r>
        <w:rPr>
          <w:rFonts w:ascii="宋体" w:hAnsi="宋体" w:cs="宋体"/>
          <w:sz w:val="24"/>
        </w:rPr>
        <w:t>)</w:t>
      </w:r>
      <w:r>
        <w:rPr>
          <w:rFonts w:hint="eastAsia" w:ascii="宋体" w:hAnsi="宋体" w:cs="宋体"/>
          <w:sz w:val="24"/>
        </w:rPr>
        <w:t>；</w:t>
      </w:r>
    </w:p>
    <w:p>
      <w:pPr>
        <w:spacing w:line="360" w:lineRule="auto"/>
        <w:ind w:firstLine="360" w:firstLineChars="150"/>
        <w:rPr>
          <w:rFonts w:hint="eastAsia" w:ascii="宋体" w:hAnsi="宋体"/>
          <w:bCs/>
          <w:sz w:val="24"/>
        </w:rPr>
      </w:pPr>
      <w:r>
        <w:rPr>
          <w:rFonts w:hint="eastAsia" w:ascii="宋体" w:hAnsi="宋体" w:cs="宋体"/>
          <w:bCs/>
          <w:kern w:val="0"/>
          <w:sz w:val="24"/>
        </w:rPr>
        <w:t>（</w:t>
      </w:r>
      <w:r>
        <w:rPr>
          <w:rFonts w:hint="eastAsia" w:ascii="宋体" w:hAnsi="宋体"/>
          <w:bCs/>
          <w:sz w:val="24"/>
        </w:rPr>
        <w:t>5）由投标人住所地或业务发生地检察院出具的无行贿犯罪档案查询结果告知函原件（复印件</w:t>
      </w:r>
      <w:r>
        <w:rPr>
          <w:rFonts w:ascii="宋体" w:hAnsi="宋体"/>
          <w:bCs/>
          <w:sz w:val="24"/>
        </w:rPr>
        <w:t>胶装在投标文件中</w:t>
      </w:r>
      <w:r>
        <w:rPr>
          <w:rFonts w:hint="eastAsia" w:ascii="宋体" w:hAnsi="宋体"/>
          <w:bCs/>
          <w:sz w:val="24"/>
        </w:rPr>
        <w:t>，原件现场核查）。</w:t>
      </w:r>
    </w:p>
    <w:p>
      <w:pPr>
        <w:spacing w:line="360" w:lineRule="auto"/>
        <w:ind w:firstLine="360" w:firstLineChars="150"/>
        <w:rPr>
          <w:rFonts w:hint="eastAsia" w:ascii="宋体" w:hAnsi="宋体"/>
          <w:bCs/>
          <w:sz w:val="24"/>
        </w:rPr>
      </w:pPr>
      <w:r>
        <w:rPr>
          <w:rFonts w:hint="eastAsia" w:ascii="宋体" w:hAnsi="宋体"/>
          <w:bCs/>
          <w:sz w:val="24"/>
        </w:rPr>
        <w:t>（6）参加本项目投标前3年内在经营活动中没有重大违法记录的书面声明；</w:t>
      </w:r>
    </w:p>
    <w:p>
      <w:pPr>
        <w:spacing w:line="360" w:lineRule="auto"/>
        <w:ind w:firstLine="360" w:firstLineChars="150"/>
        <w:rPr>
          <w:rFonts w:hint="eastAsia" w:ascii="宋体" w:hAnsi="宋体"/>
          <w:bCs/>
          <w:sz w:val="24"/>
        </w:rPr>
      </w:pPr>
      <w:r>
        <w:rPr>
          <w:rFonts w:hint="eastAsia" w:ascii="宋体" w:hAnsi="宋体"/>
          <w:bCs/>
          <w:sz w:val="24"/>
        </w:rPr>
        <w:t>（7）投标人必须取得福建省保密局颁发的</w:t>
      </w:r>
      <w:r>
        <w:rPr>
          <w:rFonts w:hint="eastAsia"/>
          <w:sz w:val="24"/>
        </w:rPr>
        <w:t>《</w:t>
      </w:r>
      <w:r>
        <w:rPr>
          <w:rFonts w:hint="eastAsia"/>
          <w:sz w:val="24"/>
          <w:lang w:eastAsia="zh-CN"/>
        </w:rPr>
        <w:t>国家秘密载体印制资质</w:t>
      </w:r>
      <w:r>
        <w:rPr>
          <w:rFonts w:hint="eastAsia"/>
          <w:sz w:val="24"/>
        </w:rPr>
        <w:t>》（</w:t>
      </w:r>
      <w:r>
        <w:rPr>
          <w:rFonts w:hint="eastAsia" w:ascii="宋体" w:hAnsi="宋体"/>
          <w:bCs/>
          <w:sz w:val="24"/>
        </w:rPr>
        <w:t>档案数字化类）证书，（证书必须有效的，原件备查）</w:t>
      </w:r>
    </w:p>
    <w:p>
      <w:pPr>
        <w:spacing w:line="360" w:lineRule="auto"/>
        <w:ind w:firstLine="360" w:firstLineChars="150"/>
        <w:rPr>
          <w:rFonts w:hint="eastAsia" w:ascii="宋体" w:hAnsi="宋体"/>
          <w:bCs/>
          <w:sz w:val="24"/>
        </w:rPr>
      </w:pPr>
      <w:r>
        <w:rPr>
          <w:rFonts w:hint="eastAsia" w:ascii="宋体" w:hAnsi="宋体"/>
          <w:bCs/>
          <w:sz w:val="24"/>
        </w:rPr>
        <w:t>（8）投标人必须取得福建省档案局（含各地市档案局）进行</w:t>
      </w:r>
      <w:r>
        <w:rPr>
          <w:rFonts w:hint="eastAsia"/>
          <w:sz w:val="24"/>
        </w:rPr>
        <w:t>《档案服务备案证》</w:t>
      </w:r>
      <w:r>
        <w:rPr>
          <w:rFonts w:hint="eastAsia" w:ascii="宋体" w:hAnsi="宋体"/>
          <w:bCs/>
          <w:sz w:val="24"/>
        </w:rPr>
        <w:t>，且备案的服务范围须包含：档案整理，档案数字化、档案修裱（原件现场备查）。</w:t>
      </w:r>
    </w:p>
    <w:p>
      <w:pPr>
        <w:spacing w:line="360" w:lineRule="auto"/>
        <w:ind w:firstLine="360" w:firstLineChars="150"/>
        <w:rPr>
          <w:rFonts w:hint="eastAsia" w:ascii="宋体" w:hAnsi="宋体"/>
          <w:bCs/>
          <w:sz w:val="24"/>
        </w:rPr>
      </w:pPr>
      <w:r>
        <w:rPr>
          <w:rFonts w:hint="eastAsia" w:ascii="宋体" w:hAnsi="宋体"/>
          <w:bCs/>
          <w:sz w:val="24"/>
        </w:rPr>
        <w:t>（9）</w:t>
      </w:r>
      <w:r>
        <w:rPr>
          <w:rFonts w:hint="eastAsia"/>
          <w:sz w:val="24"/>
          <w:shd w:val="clear" w:color="auto" w:fill="FFFFFF"/>
        </w:rPr>
        <w:t>投标人具备福建省档案服务机构信用等级评价证书</w:t>
      </w:r>
      <w:r>
        <w:rPr>
          <w:rFonts w:hint="eastAsia" w:ascii="宋体" w:hAnsi="宋体"/>
          <w:bCs/>
          <w:sz w:val="24"/>
        </w:rPr>
        <w:t>（原件现场备查）。</w:t>
      </w:r>
    </w:p>
    <w:p>
      <w:pPr>
        <w:spacing w:line="360" w:lineRule="auto"/>
        <w:ind w:firstLine="360" w:firstLineChars="150"/>
        <w:rPr>
          <w:rFonts w:hint="eastAsia" w:ascii="宋体" w:hAnsi="宋体"/>
          <w:bCs/>
          <w:sz w:val="24"/>
        </w:rPr>
      </w:pPr>
      <w:r>
        <w:rPr>
          <w:rFonts w:hint="eastAsia" w:ascii="宋体" w:hAnsi="宋体"/>
          <w:bCs/>
          <w:sz w:val="24"/>
        </w:rPr>
        <w:t>（10）投标人须提供福建省档案局（馆）关于档案数字化加工服务合同和所承接国家综合档案馆档案目录著录项目合同</w:t>
      </w:r>
      <w:r>
        <w:rPr>
          <w:rFonts w:hint="eastAsia" w:ascii="宋体" w:hAnsi="宋体"/>
          <w:bCs/>
          <w:sz w:val="24"/>
          <w:lang w:eastAsia="zh-CN"/>
        </w:rPr>
        <w:t>及婚姻</w:t>
      </w:r>
      <w:r>
        <w:rPr>
          <w:rFonts w:hint="eastAsia" w:ascii="宋体" w:hAnsi="宋体"/>
          <w:bCs/>
          <w:sz w:val="24"/>
        </w:rPr>
        <w:t>档案数字化加工服务合同，证明其具有实施本项目的实际能力</w:t>
      </w:r>
      <w:r>
        <w:rPr>
          <w:rFonts w:hint="eastAsia" w:ascii="宋体" w:hAnsi="宋体"/>
          <w:bCs/>
          <w:sz w:val="24"/>
          <w:lang w:eastAsia="zh-CN"/>
        </w:rPr>
        <w:t>者优先</w:t>
      </w:r>
      <w:r>
        <w:rPr>
          <w:rFonts w:hint="eastAsia" w:ascii="宋体" w:hAnsi="宋体"/>
          <w:bCs/>
          <w:sz w:val="24"/>
        </w:rPr>
        <w:t>。（提供项目中标通知书、合同</w:t>
      </w:r>
      <w:r>
        <w:rPr>
          <w:rFonts w:hint="eastAsia" w:ascii="宋体" w:hAnsi="宋体" w:cs="宋体"/>
          <w:sz w:val="24"/>
        </w:rPr>
        <w:t>和验收报告复印件</w:t>
      </w:r>
      <w:r>
        <w:rPr>
          <w:rFonts w:hint="eastAsia" w:ascii="宋体" w:hAnsi="宋体"/>
          <w:bCs/>
          <w:sz w:val="24"/>
        </w:rPr>
        <w:t>等，原件核查）。</w:t>
      </w:r>
    </w:p>
    <w:p>
      <w:pPr>
        <w:spacing w:line="360" w:lineRule="auto"/>
        <w:ind w:firstLine="360" w:firstLineChars="150"/>
        <w:rPr>
          <w:rFonts w:hint="eastAsia" w:ascii="宋体" w:hAnsi="宋体"/>
          <w:bCs/>
          <w:sz w:val="24"/>
        </w:rPr>
      </w:pPr>
      <w:r>
        <w:rPr>
          <w:rFonts w:hint="eastAsia" w:ascii="宋体" w:hAnsi="宋体"/>
          <w:bCs/>
          <w:sz w:val="24"/>
        </w:rPr>
        <w:t>（11）</w:t>
      </w:r>
      <w:r>
        <w:rPr>
          <w:rFonts w:hint="eastAsia" w:ascii="宋体" w:hAnsi="宋体" w:cs="宋体"/>
          <w:sz w:val="24"/>
        </w:rPr>
        <w:t>投标人</w:t>
      </w:r>
      <w:r>
        <w:rPr>
          <w:rFonts w:hint="eastAsia" w:ascii="宋体" w:hAnsi="宋体"/>
          <w:bCs/>
          <w:sz w:val="24"/>
        </w:rPr>
        <w:t>具备固定的专业档案加工队伍，本项目</w:t>
      </w:r>
      <w:r>
        <w:rPr>
          <w:rFonts w:hint="eastAsia" w:ascii="宋体" w:hAnsi="宋体" w:cs="宋体"/>
          <w:sz w:val="24"/>
        </w:rPr>
        <w:t>拟参与人员中至少有</w:t>
      </w:r>
      <w:r>
        <w:rPr>
          <w:rFonts w:hint="eastAsia" w:ascii="宋体" w:hAnsi="宋体"/>
          <w:bCs/>
          <w:sz w:val="24"/>
        </w:rPr>
        <w:t>1名现场负责人及5名具有一定从业经验的员工持岗位资格证书</w:t>
      </w:r>
      <w:r>
        <w:rPr>
          <w:rFonts w:hint="eastAsia" w:ascii="宋体" w:hAnsi="宋体" w:cs="宋体"/>
          <w:sz w:val="24"/>
        </w:rPr>
        <w:t>。</w:t>
      </w:r>
      <w:r>
        <w:rPr>
          <w:rFonts w:hint="eastAsia" w:ascii="宋体" w:hAnsi="宋体" w:cs="宋体"/>
          <w:bCs/>
          <w:kern w:val="0"/>
          <w:sz w:val="24"/>
        </w:rPr>
        <w:t>（提供相关人员的任职资格证明材料，</w:t>
      </w:r>
      <w:r>
        <w:rPr>
          <w:rFonts w:hint="eastAsia" w:ascii="宋体" w:hAnsi="宋体"/>
          <w:bCs/>
          <w:sz w:val="24"/>
        </w:rPr>
        <w:t>证书必须本公司</w:t>
      </w:r>
      <w:r>
        <w:rPr>
          <w:rFonts w:hint="eastAsia" w:ascii="宋体" w:hAnsi="宋体" w:cs="宋体"/>
          <w:bCs/>
          <w:kern w:val="0"/>
          <w:sz w:val="24"/>
        </w:rPr>
        <w:t>，原件现场核查）。</w:t>
      </w:r>
    </w:p>
    <w:p>
      <w:pPr>
        <w:spacing w:line="360" w:lineRule="auto"/>
        <w:ind w:firstLine="360" w:firstLineChars="150"/>
        <w:rPr>
          <w:rFonts w:hint="eastAsia" w:ascii="宋体" w:hAnsi="宋体" w:cs="宋体"/>
          <w:sz w:val="24"/>
        </w:rPr>
      </w:pPr>
      <w:r>
        <w:rPr>
          <w:rFonts w:hint="eastAsia" w:ascii="宋体" w:hAnsi="宋体"/>
          <w:bCs/>
          <w:sz w:val="24"/>
        </w:rPr>
        <w:t>（12）</w:t>
      </w:r>
      <w:r>
        <w:rPr>
          <w:rFonts w:hint="eastAsia" w:ascii="宋体" w:hAnsi="宋体" w:cs="宋体"/>
          <w:sz w:val="24"/>
        </w:rPr>
        <w:t>投标人持有自主知识产权的计算机软件著作权证书的，软件须为档案管理、数字化加工、录入等与档案有关方面的</w:t>
      </w:r>
      <w:r>
        <w:rPr>
          <w:rFonts w:hint="eastAsia" w:ascii="宋体" w:hAnsi="宋体" w:cs="宋体"/>
          <w:sz w:val="24"/>
          <w:lang w:val="en-US" w:eastAsia="zh-CN"/>
        </w:rPr>
        <w:t>.即所需软件应为档案馆的档案管理系统、数字化加工流程管理系统及档案录入系统的优先</w:t>
      </w:r>
      <w:r>
        <w:rPr>
          <w:rFonts w:hint="eastAsia" w:ascii="宋体" w:hAnsi="宋体" w:cs="宋体"/>
          <w:sz w:val="24"/>
        </w:rPr>
        <w:t>（提供有效证书复印件，</w:t>
      </w:r>
      <w:r>
        <w:rPr>
          <w:rFonts w:hint="eastAsia" w:ascii="宋体" w:hAnsi="宋体" w:cs="宋体"/>
          <w:bCs/>
          <w:kern w:val="0"/>
          <w:sz w:val="24"/>
        </w:rPr>
        <w:t>原件现场核查</w:t>
      </w:r>
      <w:r>
        <w:rPr>
          <w:rFonts w:hint="eastAsia" w:ascii="宋体" w:hAnsi="宋体" w:cs="宋体"/>
          <w:sz w:val="24"/>
        </w:rPr>
        <w:t>）。</w:t>
      </w:r>
    </w:p>
    <w:p>
      <w:pPr>
        <w:spacing w:line="360" w:lineRule="auto"/>
        <w:ind w:firstLine="360" w:firstLineChars="150"/>
        <w:rPr>
          <w:rFonts w:hint="eastAsia" w:ascii="宋体" w:hAnsi="宋体" w:cs="宋体"/>
          <w:sz w:val="24"/>
        </w:rPr>
      </w:pPr>
      <w:r>
        <w:rPr>
          <w:rFonts w:hint="eastAsia" w:ascii="宋体" w:hAnsi="宋体"/>
          <w:bCs/>
          <w:sz w:val="24"/>
        </w:rPr>
        <w:t>（13）</w:t>
      </w:r>
      <w:r>
        <w:rPr>
          <w:rFonts w:hint="eastAsia" w:ascii="宋体" w:hAnsi="宋体"/>
          <w:sz w:val="24"/>
        </w:rPr>
        <w:t>投标人</w:t>
      </w:r>
      <w:r>
        <w:rPr>
          <w:rFonts w:hint="eastAsia" w:ascii="宋体" w:hAnsi="宋体"/>
          <w:bCs/>
          <w:sz w:val="24"/>
          <w:lang w:eastAsia="zh-CN"/>
        </w:rPr>
        <w:t>公司综合实力强，或者</w:t>
      </w:r>
      <w:r>
        <w:rPr>
          <w:rFonts w:hint="eastAsia" w:ascii="宋体" w:hAnsi="宋体"/>
          <w:sz w:val="24"/>
        </w:rPr>
        <w:t>在地市级以上档案行政部门档案服务机构督查评价中获得优秀单位的优先（须提供相关证明文件的复印件，原件现场核查）。</w:t>
      </w:r>
    </w:p>
    <w:p>
      <w:pPr>
        <w:spacing w:line="360" w:lineRule="auto"/>
        <w:rPr>
          <w:rFonts w:hint="eastAsia" w:ascii="宋体" w:hAnsi="宋体"/>
          <w:bCs/>
          <w:sz w:val="24"/>
        </w:rPr>
      </w:pPr>
      <w:r>
        <w:rPr>
          <w:rFonts w:hint="eastAsia" w:ascii="宋体" w:hAnsi="宋体"/>
          <w:bCs/>
          <w:sz w:val="24"/>
        </w:rPr>
        <w:t xml:space="preserve">    投标人必须提交以上文件或证明的复印件，所有复印件（含投标人认为须提交的其他证明材料复印件、网页截图等）应是最新（有效）、清晰，注明“与原件一致”并加盖投标人公章，并有原件备查。如现场无法原件提供，不推荐为中标候选人。</w:t>
      </w:r>
    </w:p>
    <w:p>
      <w:pPr>
        <w:pStyle w:val="6"/>
        <w:jc w:val="center"/>
        <w:rPr>
          <w:rFonts w:hint="eastAsia" w:hAnsi="宋体"/>
          <w:b/>
          <w:sz w:val="36"/>
        </w:rPr>
      </w:pPr>
      <w:bookmarkStart w:id="0" w:name="_Toc279571002"/>
      <w:r>
        <w:rPr>
          <w:rFonts w:hint="eastAsia" w:hAnsi="宋体"/>
          <w:b/>
          <w:sz w:val="36"/>
        </w:rPr>
        <w:t>招标货物(服务)一览表</w:t>
      </w:r>
    </w:p>
    <w:bookmarkEnd w:id="0"/>
    <w:tbl>
      <w:tblPr>
        <w:tblStyle w:val="5"/>
        <w:tblW w:w="9496" w:type="dxa"/>
        <w:jc w:val="center"/>
        <w:tblInd w:w="39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900"/>
        <w:gridCol w:w="1922"/>
        <w:gridCol w:w="1498"/>
        <w:gridCol w:w="1458"/>
        <w:gridCol w:w="1440"/>
        <w:gridCol w:w="15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63" w:hRule="atLeast"/>
          <w:tblHeader/>
          <w:jc w:val="center"/>
        </w:trPr>
        <w:tc>
          <w:tcPr>
            <w:tcW w:w="720" w:type="dxa"/>
            <w:vAlign w:val="center"/>
          </w:tcPr>
          <w:p>
            <w:pPr>
              <w:pStyle w:val="2"/>
              <w:spacing w:line="300" w:lineRule="exact"/>
              <w:rPr>
                <w:rFonts w:hint="eastAsia" w:hAnsi="宋体"/>
                <w:b/>
                <w:sz w:val="24"/>
                <w:szCs w:val="24"/>
              </w:rPr>
            </w:pPr>
          </w:p>
          <w:p>
            <w:pPr>
              <w:pStyle w:val="2"/>
              <w:spacing w:line="300" w:lineRule="exact"/>
              <w:rPr>
                <w:rFonts w:hint="eastAsia" w:hAnsi="宋体"/>
                <w:b/>
                <w:sz w:val="24"/>
                <w:szCs w:val="24"/>
              </w:rPr>
            </w:pPr>
            <w:r>
              <w:rPr>
                <w:rFonts w:hint="eastAsia" w:hAnsi="宋体"/>
                <w:b/>
                <w:sz w:val="24"/>
                <w:szCs w:val="24"/>
              </w:rPr>
              <w:t>合同包</w:t>
            </w:r>
          </w:p>
        </w:tc>
        <w:tc>
          <w:tcPr>
            <w:tcW w:w="900" w:type="dxa"/>
            <w:vAlign w:val="center"/>
          </w:tcPr>
          <w:p>
            <w:pPr>
              <w:pStyle w:val="2"/>
              <w:spacing w:line="300" w:lineRule="exact"/>
              <w:jc w:val="center"/>
              <w:rPr>
                <w:rFonts w:hAnsi="宋体"/>
                <w:b/>
                <w:sz w:val="24"/>
                <w:szCs w:val="24"/>
              </w:rPr>
            </w:pPr>
          </w:p>
          <w:p>
            <w:pPr>
              <w:pStyle w:val="2"/>
              <w:spacing w:line="300" w:lineRule="exact"/>
              <w:jc w:val="center"/>
              <w:rPr>
                <w:rFonts w:hAnsi="宋体"/>
                <w:b/>
                <w:sz w:val="24"/>
                <w:szCs w:val="24"/>
              </w:rPr>
            </w:pPr>
            <w:r>
              <w:rPr>
                <w:rFonts w:hint="eastAsia" w:hAnsi="宋体"/>
                <w:b/>
                <w:sz w:val="24"/>
                <w:szCs w:val="24"/>
              </w:rPr>
              <w:t>品目</w:t>
            </w:r>
          </w:p>
          <w:p>
            <w:pPr>
              <w:pStyle w:val="2"/>
              <w:spacing w:line="300" w:lineRule="exact"/>
              <w:jc w:val="center"/>
              <w:rPr>
                <w:rFonts w:hint="eastAsia" w:hAnsi="宋体"/>
                <w:b/>
                <w:sz w:val="24"/>
                <w:szCs w:val="24"/>
              </w:rPr>
            </w:pPr>
            <w:r>
              <w:rPr>
                <w:rFonts w:hint="eastAsia" w:hAnsi="宋体"/>
                <w:b/>
                <w:sz w:val="24"/>
                <w:szCs w:val="24"/>
              </w:rPr>
              <w:t>号</w:t>
            </w:r>
          </w:p>
        </w:tc>
        <w:tc>
          <w:tcPr>
            <w:tcW w:w="1922" w:type="dxa"/>
            <w:vAlign w:val="center"/>
          </w:tcPr>
          <w:p>
            <w:pPr>
              <w:pStyle w:val="2"/>
              <w:spacing w:line="360" w:lineRule="auto"/>
              <w:jc w:val="center"/>
              <w:rPr>
                <w:rFonts w:hint="eastAsia" w:hAnsi="宋体"/>
                <w:b/>
                <w:sz w:val="24"/>
                <w:szCs w:val="24"/>
              </w:rPr>
            </w:pPr>
            <w:r>
              <w:rPr>
                <w:rFonts w:hint="eastAsia" w:hAnsi="宋体"/>
                <w:b/>
                <w:sz w:val="24"/>
                <w:szCs w:val="24"/>
              </w:rPr>
              <w:t>货物名称</w:t>
            </w:r>
          </w:p>
        </w:tc>
        <w:tc>
          <w:tcPr>
            <w:tcW w:w="1498" w:type="dxa"/>
            <w:vAlign w:val="center"/>
          </w:tcPr>
          <w:p>
            <w:pPr>
              <w:pStyle w:val="2"/>
              <w:spacing w:line="360" w:lineRule="auto"/>
              <w:jc w:val="center"/>
              <w:rPr>
                <w:rFonts w:hint="eastAsia" w:hAnsi="宋体"/>
                <w:b/>
                <w:sz w:val="24"/>
                <w:szCs w:val="24"/>
              </w:rPr>
            </w:pPr>
            <w:r>
              <w:rPr>
                <w:rFonts w:hint="eastAsia" w:hAnsi="宋体"/>
                <w:b/>
                <w:sz w:val="24"/>
                <w:szCs w:val="24"/>
              </w:rPr>
              <w:t>主要技术</w:t>
            </w:r>
          </w:p>
        </w:tc>
        <w:tc>
          <w:tcPr>
            <w:tcW w:w="1458" w:type="dxa"/>
            <w:vAlign w:val="top"/>
          </w:tcPr>
          <w:p>
            <w:pPr>
              <w:rPr>
                <w:rFonts w:hint="eastAsia"/>
              </w:rPr>
            </w:pPr>
          </w:p>
          <w:p>
            <w:pPr>
              <w:ind w:firstLine="239" w:firstLineChars="99"/>
              <w:rPr>
                <w:rFonts w:hint="eastAsia"/>
                <w:b/>
                <w:sz w:val="24"/>
              </w:rPr>
            </w:pPr>
            <w:r>
              <w:rPr>
                <w:rFonts w:hint="eastAsia"/>
                <w:b/>
                <w:sz w:val="24"/>
              </w:rPr>
              <w:t>数量</w:t>
            </w:r>
          </w:p>
        </w:tc>
        <w:tc>
          <w:tcPr>
            <w:tcW w:w="1440" w:type="dxa"/>
            <w:vAlign w:val="center"/>
          </w:tcPr>
          <w:p>
            <w:pPr>
              <w:pStyle w:val="2"/>
              <w:spacing w:line="360" w:lineRule="auto"/>
              <w:jc w:val="center"/>
              <w:rPr>
                <w:rFonts w:hint="eastAsia" w:hAnsi="宋体" w:cs="宋体"/>
                <w:b/>
                <w:sz w:val="24"/>
              </w:rPr>
            </w:pPr>
            <w:r>
              <w:rPr>
                <w:rFonts w:hint="eastAsia" w:hAnsi="宋体" w:cs="宋体"/>
                <w:b/>
                <w:sz w:val="24"/>
              </w:rPr>
              <w:t>单价最高</w:t>
            </w:r>
          </w:p>
          <w:p>
            <w:pPr>
              <w:pStyle w:val="2"/>
              <w:spacing w:line="360" w:lineRule="auto"/>
              <w:jc w:val="center"/>
              <w:rPr>
                <w:rFonts w:hint="eastAsia" w:hAnsi="宋体"/>
                <w:b/>
                <w:sz w:val="24"/>
                <w:szCs w:val="24"/>
              </w:rPr>
            </w:pPr>
            <w:r>
              <w:rPr>
                <w:rFonts w:hint="eastAsia" w:hAnsi="宋体" w:cs="宋体"/>
                <w:b/>
                <w:sz w:val="24"/>
              </w:rPr>
              <w:t xml:space="preserve"> 限价（元</w:t>
            </w:r>
            <w:r>
              <w:rPr>
                <w:rFonts w:hint="eastAsia" w:hAnsi="宋体" w:cs="宋体"/>
                <w:sz w:val="24"/>
              </w:rPr>
              <w:t>）</w:t>
            </w:r>
          </w:p>
        </w:tc>
        <w:tc>
          <w:tcPr>
            <w:tcW w:w="1558" w:type="dxa"/>
            <w:vAlign w:val="center"/>
          </w:tcPr>
          <w:p>
            <w:pPr>
              <w:pStyle w:val="2"/>
              <w:spacing w:line="360" w:lineRule="auto"/>
              <w:jc w:val="center"/>
              <w:rPr>
                <w:rFonts w:hint="eastAsia" w:hAnsi="宋体" w:cs="宋体"/>
                <w:b/>
                <w:sz w:val="24"/>
              </w:rPr>
            </w:pPr>
            <w:r>
              <w:rPr>
                <w:rFonts w:hint="eastAsia" w:hAnsi="宋体" w:cs="宋体"/>
                <w:b/>
                <w:sz w:val="24"/>
              </w:rPr>
              <w:t>合计最高</w:t>
            </w:r>
          </w:p>
          <w:p>
            <w:pPr>
              <w:pStyle w:val="2"/>
              <w:spacing w:line="360" w:lineRule="auto"/>
              <w:jc w:val="center"/>
              <w:rPr>
                <w:rFonts w:hint="eastAsia" w:hAnsi="宋体" w:cs="宋体"/>
                <w:b/>
                <w:sz w:val="24"/>
              </w:rPr>
            </w:pPr>
            <w:r>
              <w:rPr>
                <w:rFonts w:hint="eastAsia" w:hAnsi="宋体" w:cs="宋体"/>
                <w:b/>
                <w:sz w:val="24"/>
              </w:rPr>
              <w:t xml:space="preserve"> 限价（元）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932" w:hRule="atLeast"/>
          <w:jc w:val="center"/>
        </w:trPr>
        <w:tc>
          <w:tcPr>
            <w:tcW w:w="720" w:type="dxa"/>
            <w:vAlign w:val="center"/>
          </w:tcPr>
          <w:p>
            <w:pPr>
              <w:pStyle w:val="2"/>
              <w:spacing w:line="360" w:lineRule="auto"/>
              <w:jc w:val="center"/>
              <w:rPr>
                <w:rFonts w:hint="eastAsia" w:hAnsi="宋体"/>
                <w:sz w:val="24"/>
                <w:szCs w:val="24"/>
              </w:rPr>
            </w:pPr>
            <w:r>
              <w:rPr>
                <w:rFonts w:hint="eastAsia" w:hAnsi="宋体"/>
                <w:sz w:val="24"/>
                <w:szCs w:val="24"/>
              </w:rPr>
              <w:t>1</w:t>
            </w:r>
          </w:p>
        </w:tc>
        <w:tc>
          <w:tcPr>
            <w:tcW w:w="900" w:type="dxa"/>
            <w:vAlign w:val="center"/>
          </w:tcPr>
          <w:p>
            <w:pPr>
              <w:pStyle w:val="2"/>
              <w:spacing w:line="360" w:lineRule="auto"/>
              <w:jc w:val="center"/>
              <w:rPr>
                <w:rFonts w:hint="eastAsia" w:hAnsi="宋体"/>
                <w:sz w:val="24"/>
                <w:szCs w:val="24"/>
              </w:rPr>
            </w:pPr>
            <w:r>
              <w:rPr>
                <w:rFonts w:hint="eastAsia" w:hAnsi="宋体"/>
                <w:sz w:val="24"/>
                <w:szCs w:val="24"/>
              </w:rPr>
              <w:t>1-1</w:t>
            </w:r>
          </w:p>
        </w:tc>
        <w:tc>
          <w:tcPr>
            <w:tcW w:w="1922" w:type="dxa"/>
            <w:vAlign w:val="center"/>
          </w:tcPr>
          <w:p>
            <w:pPr>
              <w:pStyle w:val="2"/>
              <w:spacing w:line="360" w:lineRule="auto"/>
              <w:jc w:val="center"/>
              <w:rPr>
                <w:rFonts w:hint="eastAsia" w:hAnsi="宋体"/>
                <w:sz w:val="24"/>
                <w:szCs w:val="24"/>
              </w:rPr>
            </w:pPr>
            <w:r>
              <w:rPr>
                <w:rFonts w:hint="eastAsia" w:hAnsi="宋体"/>
                <w:sz w:val="24"/>
              </w:rPr>
              <w:t>档案</w:t>
            </w:r>
            <w:r>
              <w:rPr>
                <w:rFonts w:hint="eastAsia" w:hAnsi="宋体"/>
                <w:sz w:val="24"/>
                <w:lang w:eastAsia="zh-CN"/>
              </w:rPr>
              <w:t>平板</w:t>
            </w:r>
            <w:r>
              <w:rPr>
                <w:rFonts w:hint="eastAsia" w:hAnsi="宋体"/>
                <w:sz w:val="24"/>
              </w:rPr>
              <w:t>扫描</w:t>
            </w:r>
          </w:p>
        </w:tc>
        <w:tc>
          <w:tcPr>
            <w:tcW w:w="1498" w:type="dxa"/>
            <w:vMerge w:val="restart"/>
            <w:vAlign w:val="center"/>
          </w:tcPr>
          <w:p>
            <w:pPr>
              <w:pStyle w:val="2"/>
              <w:spacing w:line="360" w:lineRule="auto"/>
              <w:jc w:val="center"/>
              <w:rPr>
                <w:rFonts w:hint="eastAsia" w:hAnsi="宋体"/>
                <w:sz w:val="24"/>
                <w:szCs w:val="24"/>
              </w:rPr>
            </w:pPr>
            <w:r>
              <w:rPr>
                <w:rFonts w:hint="eastAsia" w:hAnsi="宋体"/>
                <w:sz w:val="24"/>
                <w:szCs w:val="24"/>
              </w:rPr>
              <w:t>主要技术要求与内容详见如下</w:t>
            </w:r>
          </w:p>
        </w:tc>
        <w:tc>
          <w:tcPr>
            <w:tcW w:w="1458" w:type="dxa"/>
            <w:vAlign w:val="top"/>
          </w:tcPr>
          <w:p>
            <w:pPr>
              <w:widowControl/>
              <w:spacing w:line="360" w:lineRule="auto"/>
              <w:ind w:left="2" w:hanging="2" w:hangingChars="1"/>
              <w:jc w:val="center"/>
              <w:rPr>
                <w:rFonts w:hint="eastAsia" w:ascii="宋体" w:hAnsi="宋体"/>
                <w:sz w:val="24"/>
              </w:rPr>
            </w:pPr>
            <w:r>
              <w:rPr>
                <w:rFonts w:hint="eastAsia" w:ascii="宋体" w:hAnsi="宋体"/>
                <w:sz w:val="24"/>
              </w:rPr>
              <w:t>约</w:t>
            </w:r>
            <w:r>
              <w:rPr>
                <w:rFonts w:hint="eastAsia" w:ascii="宋体" w:hAnsi="宋体"/>
                <w:sz w:val="24"/>
                <w:lang w:val="en-US" w:eastAsia="zh-CN"/>
              </w:rPr>
              <w:t>38</w:t>
            </w:r>
            <w:r>
              <w:rPr>
                <w:rFonts w:hint="eastAsia" w:ascii="宋体" w:hAnsi="宋体"/>
                <w:sz w:val="24"/>
              </w:rPr>
              <w:t>万页</w:t>
            </w:r>
          </w:p>
        </w:tc>
        <w:tc>
          <w:tcPr>
            <w:tcW w:w="1440" w:type="dxa"/>
            <w:vAlign w:val="center"/>
          </w:tcPr>
          <w:p>
            <w:pPr>
              <w:widowControl/>
              <w:spacing w:line="360" w:lineRule="auto"/>
              <w:ind w:left="2" w:hanging="2" w:hangingChars="1"/>
              <w:jc w:val="center"/>
              <w:rPr>
                <w:rFonts w:hint="eastAsia" w:ascii="宋体" w:hAnsi="宋体"/>
                <w:sz w:val="24"/>
              </w:rPr>
            </w:pPr>
            <w:r>
              <w:rPr>
                <w:rFonts w:hint="eastAsia" w:ascii="宋体" w:hAnsi="宋体"/>
                <w:sz w:val="24"/>
              </w:rPr>
              <w:t>0.</w:t>
            </w:r>
            <w:r>
              <w:rPr>
                <w:rFonts w:hint="eastAsia" w:ascii="宋体" w:hAnsi="宋体"/>
                <w:sz w:val="24"/>
                <w:lang w:val="en-US" w:eastAsia="zh-CN"/>
              </w:rPr>
              <w:t>38</w:t>
            </w:r>
            <w:r>
              <w:rPr>
                <w:rFonts w:hint="eastAsia" w:ascii="宋体" w:hAnsi="宋体" w:cs="宋体"/>
                <w:sz w:val="24"/>
              </w:rPr>
              <w:t>元/页</w:t>
            </w:r>
          </w:p>
        </w:tc>
        <w:tc>
          <w:tcPr>
            <w:tcW w:w="1558" w:type="dxa"/>
            <w:vAlign w:val="center"/>
          </w:tcPr>
          <w:p>
            <w:pPr>
              <w:widowControl/>
              <w:spacing w:line="360" w:lineRule="auto"/>
              <w:ind w:left="2" w:hanging="2" w:hangingChars="1"/>
              <w:jc w:val="center"/>
              <w:rPr>
                <w:rFonts w:hint="eastAsia" w:ascii="宋体" w:hAnsi="宋体"/>
                <w:sz w:val="24"/>
              </w:rPr>
            </w:pPr>
            <w:r>
              <w:rPr>
                <w:rFonts w:hint="eastAsia" w:ascii="宋体" w:hAnsi="宋体"/>
                <w:sz w:val="24"/>
              </w:rPr>
              <w:t>1</w:t>
            </w:r>
            <w:r>
              <w:rPr>
                <w:rFonts w:hint="eastAsia" w:ascii="宋体" w:hAnsi="宋体"/>
                <w:sz w:val="24"/>
                <w:lang w:val="en-US" w:eastAsia="zh-CN"/>
              </w:rPr>
              <w:t>444</w:t>
            </w:r>
            <w:r>
              <w:rPr>
                <w:rFonts w:hint="eastAsia" w:ascii="宋体" w:hAnsi="宋体"/>
                <w:sz w:val="24"/>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7" w:hRule="atLeast"/>
          <w:jc w:val="center"/>
        </w:trPr>
        <w:tc>
          <w:tcPr>
            <w:tcW w:w="720" w:type="dxa"/>
            <w:tcBorders>
              <w:bottom w:val="single" w:color="auto" w:sz="4" w:space="0"/>
            </w:tcBorders>
            <w:vAlign w:val="center"/>
          </w:tcPr>
          <w:p>
            <w:pPr>
              <w:pStyle w:val="2"/>
              <w:spacing w:line="360" w:lineRule="auto"/>
              <w:ind w:firstLine="120" w:firstLineChars="50"/>
              <w:rPr>
                <w:rFonts w:hint="eastAsia" w:hAnsi="宋体"/>
                <w:sz w:val="24"/>
                <w:szCs w:val="24"/>
              </w:rPr>
            </w:pPr>
            <w:r>
              <w:rPr>
                <w:rFonts w:hint="eastAsia" w:hAnsi="宋体"/>
                <w:sz w:val="24"/>
                <w:szCs w:val="24"/>
              </w:rPr>
              <w:t>1</w:t>
            </w:r>
          </w:p>
        </w:tc>
        <w:tc>
          <w:tcPr>
            <w:tcW w:w="900" w:type="dxa"/>
            <w:tcBorders>
              <w:bottom w:val="single" w:color="auto" w:sz="4" w:space="0"/>
            </w:tcBorders>
            <w:vAlign w:val="center"/>
          </w:tcPr>
          <w:p>
            <w:pPr>
              <w:pStyle w:val="2"/>
              <w:spacing w:line="360" w:lineRule="auto"/>
              <w:ind w:left="105"/>
              <w:rPr>
                <w:rFonts w:hint="eastAsia" w:hAnsi="宋体"/>
                <w:sz w:val="24"/>
                <w:szCs w:val="24"/>
              </w:rPr>
            </w:pPr>
            <w:r>
              <w:rPr>
                <w:rFonts w:hint="eastAsia" w:hAnsi="宋体"/>
                <w:sz w:val="24"/>
                <w:szCs w:val="24"/>
              </w:rPr>
              <w:t>1-2</w:t>
            </w:r>
          </w:p>
        </w:tc>
        <w:tc>
          <w:tcPr>
            <w:tcW w:w="1922" w:type="dxa"/>
            <w:tcBorders>
              <w:bottom w:val="single" w:color="auto" w:sz="4" w:space="0"/>
            </w:tcBorders>
            <w:vAlign w:val="center"/>
          </w:tcPr>
          <w:p>
            <w:pPr>
              <w:pStyle w:val="2"/>
              <w:spacing w:line="360" w:lineRule="auto"/>
              <w:jc w:val="center"/>
              <w:rPr>
                <w:rFonts w:hint="eastAsia" w:hAnsi="宋体"/>
                <w:sz w:val="24"/>
                <w:szCs w:val="24"/>
              </w:rPr>
            </w:pPr>
            <w:r>
              <w:rPr>
                <w:rFonts w:hint="eastAsia" w:hAnsi="宋体"/>
                <w:sz w:val="24"/>
              </w:rPr>
              <w:t>目录著入（补录）</w:t>
            </w:r>
          </w:p>
        </w:tc>
        <w:tc>
          <w:tcPr>
            <w:tcW w:w="1498" w:type="dxa"/>
            <w:vMerge w:val="continue"/>
            <w:vAlign w:val="top"/>
          </w:tcPr>
          <w:p>
            <w:pPr>
              <w:pStyle w:val="2"/>
              <w:spacing w:line="360" w:lineRule="auto"/>
              <w:jc w:val="center"/>
              <w:rPr>
                <w:rFonts w:hint="eastAsia" w:hAnsi="宋体"/>
                <w:sz w:val="24"/>
                <w:szCs w:val="24"/>
              </w:rPr>
            </w:pPr>
          </w:p>
        </w:tc>
        <w:tc>
          <w:tcPr>
            <w:tcW w:w="1458" w:type="dxa"/>
            <w:tcBorders>
              <w:bottom w:val="single" w:color="auto" w:sz="4" w:space="0"/>
            </w:tcBorders>
            <w:vAlign w:val="top"/>
          </w:tcPr>
          <w:p>
            <w:pPr>
              <w:widowControl/>
              <w:spacing w:line="360" w:lineRule="auto"/>
              <w:rPr>
                <w:rFonts w:hint="eastAsia" w:ascii="宋体" w:hAnsi="宋体"/>
                <w:sz w:val="24"/>
              </w:rPr>
            </w:pPr>
            <w:r>
              <w:rPr>
                <w:rFonts w:hint="eastAsia" w:ascii="宋体" w:hAnsi="宋体"/>
                <w:sz w:val="24"/>
              </w:rPr>
              <w:t>约0.</w:t>
            </w:r>
            <w:r>
              <w:rPr>
                <w:rFonts w:hint="eastAsia" w:ascii="宋体" w:hAnsi="宋体"/>
                <w:sz w:val="24"/>
                <w:lang w:val="en-US" w:eastAsia="zh-CN"/>
              </w:rPr>
              <w:t>6</w:t>
            </w:r>
            <w:r>
              <w:rPr>
                <w:rFonts w:hint="eastAsia" w:ascii="宋体" w:hAnsi="宋体"/>
                <w:sz w:val="24"/>
              </w:rPr>
              <w:t>万条</w:t>
            </w:r>
          </w:p>
        </w:tc>
        <w:tc>
          <w:tcPr>
            <w:tcW w:w="1440" w:type="dxa"/>
            <w:tcBorders>
              <w:bottom w:val="single" w:color="auto" w:sz="4" w:space="0"/>
            </w:tcBorders>
            <w:vAlign w:val="center"/>
          </w:tcPr>
          <w:p>
            <w:pPr>
              <w:widowControl/>
              <w:spacing w:line="360" w:lineRule="auto"/>
              <w:ind w:left="2" w:hanging="2" w:hangingChars="1"/>
              <w:jc w:val="center"/>
              <w:rPr>
                <w:rFonts w:hint="eastAsia" w:ascii="宋体" w:hAnsi="宋体" w:cs="宋体"/>
                <w:sz w:val="24"/>
              </w:rPr>
            </w:pPr>
            <w:r>
              <w:rPr>
                <w:rFonts w:hint="eastAsia" w:ascii="宋体" w:hAnsi="宋体"/>
                <w:sz w:val="24"/>
              </w:rPr>
              <w:t>0.6</w:t>
            </w:r>
            <w:r>
              <w:rPr>
                <w:rFonts w:hint="eastAsia" w:ascii="宋体" w:hAnsi="宋体" w:cs="宋体"/>
                <w:sz w:val="24"/>
              </w:rPr>
              <w:t>/条</w:t>
            </w:r>
          </w:p>
        </w:tc>
        <w:tc>
          <w:tcPr>
            <w:tcW w:w="1558" w:type="dxa"/>
            <w:tcBorders>
              <w:bottom w:val="single" w:color="auto" w:sz="4" w:space="0"/>
            </w:tcBorders>
            <w:vAlign w:val="center"/>
          </w:tcPr>
          <w:p>
            <w:pPr>
              <w:widowControl/>
              <w:spacing w:line="360" w:lineRule="auto"/>
              <w:ind w:left="2" w:hanging="2" w:hangingChars="1"/>
              <w:jc w:val="center"/>
              <w:rPr>
                <w:rFonts w:hint="eastAsia" w:ascii="宋体" w:hAnsi="宋体"/>
                <w:sz w:val="24"/>
              </w:rPr>
            </w:pPr>
            <w:r>
              <w:rPr>
                <w:rFonts w:hint="eastAsia" w:ascii="宋体" w:hAnsi="宋体"/>
                <w:sz w:val="24"/>
                <w:lang w:val="en-US" w:eastAsia="zh-CN"/>
              </w:rPr>
              <w:t>36</w:t>
            </w:r>
            <w:r>
              <w:rPr>
                <w:rFonts w:hint="eastAsia" w:ascii="宋体" w:hAnsi="宋体"/>
                <w:sz w:val="24"/>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7" w:hRule="atLeast"/>
          <w:jc w:val="center"/>
        </w:trPr>
        <w:tc>
          <w:tcPr>
            <w:tcW w:w="720" w:type="dxa"/>
            <w:tcBorders>
              <w:bottom w:val="single" w:color="auto" w:sz="4" w:space="0"/>
            </w:tcBorders>
            <w:vAlign w:val="center"/>
          </w:tcPr>
          <w:p>
            <w:pPr>
              <w:pStyle w:val="2"/>
              <w:spacing w:line="360" w:lineRule="auto"/>
              <w:ind w:firstLine="120" w:firstLineChars="50"/>
              <w:rPr>
                <w:rFonts w:hint="eastAsia" w:hAnsi="宋体"/>
                <w:sz w:val="24"/>
                <w:szCs w:val="24"/>
              </w:rPr>
            </w:pPr>
            <w:r>
              <w:rPr>
                <w:rFonts w:hint="eastAsia" w:hAnsi="宋体"/>
                <w:sz w:val="24"/>
                <w:szCs w:val="24"/>
              </w:rPr>
              <w:t>1</w:t>
            </w:r>
          </w:p>
        </w:tc>
        <w:tc>
          <w:tcPr>
            <w:tcW w:w="900" w:type="dxa"/>
            <w:tcBorders>
              <w:bottom w:val="single" w:color="auto" w:sz="4" w:space="0"/>
            </w:tcBorders>
            <w:vAlign w:val="center"/>
          </w:tcPr>
          <w:p>
            <w:pPr>
              <w:pStyle w:val="2"/>
              <w:spacing w:line="360" w:lineRule="auto"/>
              <w:ind w:left="105"/>
              <w:rPr>
                <w:rFonts w:hint="eastAsia" w:hAnsi="宋体"/>
                <w:sz w:val="24"/>
                <w:szCs w:val="24"/>
              </w:rPr>
            </w:pPr>
            <w:r>
              <w:rPr>
                <w:rFonts w:hint="eastAsia" w:hAnsi="宋体"/>
                <w:sz w:val="24"/>
                <w:szCs w:val="24"/>
              </w:rPr>
              <w:t>1-3</w:t>
            </w:r>
          </w:p>
        </w:tc>
        <w:tc>
          <w:tcPr>
            <w:tcW w:w="1922" w:type="dxa"/>
            <w:tcBorders>
              <w:bottom w:val="single" w:color="auto" w:sz="4" w:space="0"/>
            </w:tcBorders>
            <w:vAlign w:val="center"/>
          </w:tcPr>
          <w:p>
            <w:pPr>
              <w:pStyle w:val="2"/>
              <w:spacing w:line="360" w:lineRule="auto"/>
              <w:rPr>
                <w:rFonts w:hint="eastAsia" w:hAnsi="宋体"/>
                <w:sz w:val="24"/>
                <w:szCs w:val="24"/>
              </w:rPr>
            </w:pPr>
            <w:r>
              <w:rPr>
                <w:rFonts w:hint="eastAsia" w:hAnsi="宋体"/>
                <w:sz w:val="24"/>
                <w:szCs w:val="24"/>
              </w:rPr>
              <w:t>馆藏</w:t>
            </w:r>
            <w:r>
              <w:rPr>
                <w:rFonts w:hint="eastAsia" w:hAnsi="宋体"/>
                <w:color w:val="000000"/>
                <w:sz w:val="24"/>
                <w:szCs w:val="24"/>
              </w:rPr>
              <w:t>软件维护</w:t>
            </w:r>
            <w:r>
              <w:rPr>
                <w:rFonts w:hint="eastAsia" w:hAnsi="宋体"/>
                <w:sz w:val="24"/>
                <w:szCs w:val="24"/>
              </w:rPr>
              <w:t>数据转换与迁移等</w:t>
            </w:r>
          </w:p>
        </w:tc>
        <w:tc>
          <w:tcPr>
            <w:tcW w:w="1498" w:type="dxa"/>
            <w:vMerge w:val="continue"/>
            <w:tcBorders>
              <w:bottom w:val="single" w:color="auto" w:sz="4" w:space="0"/>
            </w:tcBorders>
            <w:vAlign w:val="top"/>
          </w:tcPr>
          <w:p>
            <w:pPr>
              <w:pStyle w:val="2"/>
              <w:spacing w:line="360" w:lineRule="auto"/>
              <w:rPr>
                <w:rFonts w:hint="eastAsia" w:hAnsi="宋体"/>
                <w:sz w:val="24"/>
                <w:szCs w:val="24"/>
              </w:rPr>
            </w:pPr>
          </w:p>
        </w:tc>
        <w:tc>
          <w:tcPr>
            <w:tcW w:w="1458" w:type="dxa"/>
            <w:tcBorders>
              <w:bottom w:val="single" w:color="auto" w:sz="4" w:space="0"/>
            </w:tcBorders>
            <w:vAlign w:val="top"/>
          </w:tcPr>
          <w:p>
            <w:pPr>
              <w:rPr>
                <w:rFonts w:ascii="宋体" w:hAnsi="宋体"/>
                <w:sz w:val="24"/>
              </w:rPr>
            </w:pPr>
          </w:p>
          <w:p>
            <w:pPr>
              <w:jc w:val="center"/>
              <w:rPr>
                <w:rFonts w:hint="eastAsia" w:ascii="宋体" w:hAnsi="宋体"/>
                <w:sz w:val="24"/>
              </w:rPr>
            </w:pPr>
          </w:p>
        </w:tc>
        <w:tc>
          <w:tcPr>
            <w:tcW w:w="1440" w:type="dxa"/>
            <w:tcBorders>
              <w:bottom w:val="single" w:color="auto" w:sz="4" w:space="0"/>
            </w:tcBorders>
            <w:vAlign w:val="center"/>
          </w:tcPr>
          <w:p>
            <w:pPr>
              <w:widowControl/>
              <w:spacing w:line="360" w:lineRule="auto"/>
              <w:ind w:left="2" w:hanging="2" w:hangingChars="1"/>
              <w:jc w:val="center"/>
              <w:rPr>
                <w:rFonts w:hint="eastAsia" w:ascii="宋体" w:hAnsi="宋体"/>
                <w:sz w:val="24"/>
              </w:rPr>
            </w:pPr>
            <w:r>
              <w:rPr>
                <w:rFonts w:hint="eastAsia" w:ascii="宋体" w:hAnsi="宋体"/>
                <w:sz w:val="24"/>
                <w:lang w:val="en-US" w:eastAsia="zh-CN"/>
              </w:rPr>
              <w:t>20</w:t>
            </w:r>
            <w:r>
              <w:rPr>
                <w:rFonts w:hint="eastAsia" w:ascii="宋体" w:hAnsi="宋体"/>
                <w:sz w:val="24"/>
              </w:rPr>
              <w:t>00</w:t>
            </w:r>
          </w:p>
        </w:tc>
        <w:tc>
          <w:tcPr>
            <w:tcW w:w="1558" w:type="dxa"/>
            <w:tcBorders>
              <w:bottom w:val="single" w:color="auto" w:sz="4" w:space="0"/>
            </w:tcBorders>
            <w:vAlign w:val="center"/>
          </w:tcPr>
          <w:p>
            <w:pPr>
              <w:widowControl/>
              <w:spacing w:line="360" w:lineRule="auto"/>
              <w:ind w:left="2" w:hanging="2" w:hangingChars="1"/>
              <w:jc w:val="center"/>
              <w:rPr>
                <w:rFonts w:hint="eastAsia" w:ascii="宋体" w:hAnsi="宋体"/>
                <w:sz w:val="24"/>
              </w:rPr>
            </w:pPr>
            <w:r>
              <w:rPr>
                <w:rFonts w:hint="eastAsia" w:ascii="宋体" w:hAnsi="宋体"/>
                <w:sz w:val="24"/>
                <w:lang w:val="en-US" w:eastAsia="zh-CN"/>
              </w:rPr>
              <w:t>20</w:t>
            </w:r>
            <w:r>
              <w:rPr>
                <w:rFonts w:hint="eastAsia" w:ascii="宋体" w:hAnsi="宋体"/>
                <w:sz w:val="24"/>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3542" w:type="dxa"/>
            <w:gridSpan w:val="3"/>
            <w:vAlign w:val="top"/>
          </w:tcPr>
          <w:p>
            <w:pPr>
              <w:spacing w:line="360" w:lineRule="auto"/>
              <w:ind w:firstLine="720" w:firstLineChars="300"/>
              <w:rPr>
                <w:rFonts w:hint="eastAsia" w:ascii="宋体" w:hAnsi="宋体"/>
                <w:bCs/>
                <w:sz w:val="24"/>
              </w:rPr>
            </w:pPr>
            <w:r>
              <w:rPr>
                <w:rFonts w:hint="eastAsia" w:ascii="宋体" w:hAnsi="宋体"/>
                <w:bCs/>
                <w:sz w:val="24"/>
              </w:rPr>
              <w:t>合          计</w:t>
            </w:r>
          </w:p>
        </w:tc>
        <w:tc>
          <w:tcPr>
            <w:tcW w:w="5954" w:type="dxa"/>
            <w:gridSpan w:val="4"/>
            <w:vAlign w:val="top"/>
          </w:tcPr>
          <w:p>
            <w:pPr>
              <w:spacing w:line="360" w:lineRule="auto"/>
              <w:ind w:firstLine="480" w:firstLineChars="200"/>
              <w:rPr>
                <w:rFonts w:hint="eastAsia" w:ascii="宋体" w:hAnsi="宋体"/>
                <w:bCs/>
                <w:sz w:val="24"/>
              </w:rPr>
            </w:pPr>
            <w:r>
              <w:rPr>
                <w:rFonts w:hint="eastAsia" w:ascii="宋体" w:hAnsi="宋体" w:cs="宋体"/>
                <w:sz w:val="24"/>
              </w:rPr>
              <w:t>最高限价1</w:t>
            </w:r>
            <w:r>
              <w:rPr>
                <w:rFonts w:hint="eastAsia" w:ascii="宋体" w:hAnsi="宋体" w:cs="宋体"/>
                <w:sz w:val="24"/>
                <w:lang w:val="en-US" w:eastAsia="zh-CN"/>
              </w:rPr>
              <w:t>50</w:t>
            </w:r>
            <w:r>
              <w:rPr>
                <w:rFonts w:hint="eastAsia" w:ascii="宋体" w:hAnsi="宋体" w:cs="宋体"/>
                <w:sz w:val="24"/>
              </w:rPr>
              <w:t>000（元）</w:t>
            </w:r>
          </w:p>
        </w:tc>
      </w:tr>
    </w:tbl>
    <w:p>
      <w:pPr>
        <w:pStyle w:val="6"/>
        <w:spacing w:line="460" w:lineRule="exact"/>
        <w:ind w:firstLine="630" w:firstLineChars="196"/>
        <w:rPr>
          <w:rFonts w:hint="eastAsia" w:hAnsi="宋体"/>
          <w:b/>
          <w:sz w:val="32"/>
          <w:szCs w:val="32"/>
        </w:rPr>
      </w:pPr>
      <w:r>
        <w:rPr>
          <w:rFonts w:hint="eastAsia" w:hAnsi="宋体"/>
          <w:b/>
          <w:sz w:val="32"/>
          <w:szCs w:val="32"/>
        </w:rPr>
        <w:t>一、技术规格与要求</w:t>
      </w:r>
    </w:p>
    <w:p>
      <w:pPr>
        <w:spacing w:line="360" w:lineRule="auto"/>
        <w:ind w:firstLine="480" w:firstLineChars="200"/>
        <w:rPr>
          <w:rFonts w:hint="eastAsia" w:ascii="宋体" w:hAnsi="宋体"/>
          <w:bCs/>
          <w:sz w:val="24"/>
        </w:rPr>
      </w:pPr>
      <w:r>
        <w:rPr>
          <w:rFonts w:hint="eastAsia" w:ascii="宋体" w:hAnsi="宋体"/>
          <w:bCs/>
          <w:sz w:val="24"/>
        </w:rPr>
        <w:t>1、技术标准</w:t>
      </w:r>
    </w:p>
    <w:p>
      <w:pPr>
        <w:spacing w:line="360" w:lineRule="auto"/>
        <w:ind w:firstLine="480" w:firstLineChars="200"/>
        <w:rPr>
          <w:rFonts w:hint="eastAsia" w:ascii="宋体" w:hAnsi="宋体"/>
          <w:bCs/>
          <w:color w:val="000000"/>
          <w:sz w:val="24"/>
        </w:rPr>
      </w:pPr>
      <w:r>
        <w:rPr>
          <w:rFonts w:hint="eastAsia" w:ascii="宋体" w:hAnsi="宋体" w:cs="宋体"/>
          <w:sz w:val="24"/>
        </w:rPr>
        <w:t>1.1档案目录著入</w:t>
      </w:r>
      <w:r>
        <w:rPr>
          <w:rFonts w:hint="eastAsia" w:ascii="宋体" w:hAnsi="宋体"/>
          <w:bCs/>
          <w:color w:val="000000"/>
          <w:sz w:val="24"/>
        </w:rPr>
        <w:t>的业务标准</w:t>
      </w:r>
    </w:p>
    <w:p>
      <w:pPr>
        <w:spacing w:line="420" w:lineRule="exact"/>
        <w:ind w:firstLine="480" w:firstLineChars="200"/>
        <w:rPr>
          <w:rFonts w:hint="eastAsia" w:ascii="宋体" w:hAnsi="宋体" w:cs="宋体"/>
          <w:sz w:val="24"/>
        </w:rPr>
      </w:pPr>
      <w:r>
        <w:rPr>
          <w:rFonts w:hint="eastAsia" w:ascii="宋体" w:hAnsi="宋体" w:cs="宋体"/>
          <w:sz w:val="24"/>
        </w:rPr>
        <w:t>1.1.1福建省档案局文书档案目录数据规范（福建省地方标准</w:t>
      </w:r>
      <w:r>
        <w:rPr>
          <w:rFonts w:ascii="宋体" w:hAnsi="宋体" w:cs="宋体"/>
          <w:sz w:val="24"/>
        </w:rPr>
        <w:t>DB35/T161-2002</w:t>
      </w:r>
      <w:r>
        <w:rPr>
          <w:rFonts w:hint="eastAsia" w:ascii="宋体" w:hAnsi="宋体" w:cs="宋体"/>
          <w:sz w:val="24"/>
        </w:rPr>
        <w:t>《文书档案目录数据交换格式与著录细则》）；</w:t>
      </w:r>
    </w:p>
    <w:p>
      <w:pPr>
        <w:tabs>
          <w:tab w:val="left" w:pos="5797"/>
        </w:tabs>
        <w:spacing w:line="420" w:lineRule="exact"/>
        <w:ind w:firstLine="480" w:firstLineChars="200"/>
        <w:rPr>
          <w:rFonts w:hint="eastAsia" w:ascii="宋体" w:hAnsi="宋体" w:cs="宋体"/>
          <w:sz w:val="24"/>
        </w:rPr>
      </w:pPr>
      <w:r>
        <w:rPr>
          <w:rFonts w:hint="eastAsia" w:ascii="宋体" w:hAnsi="宋体" w:cs="宋体"/>
          <w:sz w:val="24"/>
        </w:rPr>
        <w:t>1.1.2闽档</w:t>
      </w:r>
      <w:r>
        <w:rPr>
          <w:rFonts w:ascii="宋体" w:hAnsi="宋体" w:cs="宋体"/>
          <w:sz w:val="24"/>
        </w:rPr>
        <w:t>[2003]34</w:t>
      </w:r>
      <w:r>
        <w:rPr>
          <w:rFonts w:hint="eastAsia" w:ascii="宋体" w:hAnsi="宋体" w:cs="宋体"/>
          <w:sz w:val="24"/>
        </w:rPr>
        <w:t>号文；</w:t>
      </w:r>
      <w:r>
        <w:rPr>
          <w:rFonts w:ascii="宋体" w:hAnsi="宋体" w:cs="宋体"/>
          <w:sz w:val="24"/>
        </w:rPr>
        <w:tab/>
      </w:r>
    </w:p>
    <w:p>
      <w:pPr>
        <w:spacing w:line="360" w:lineRule="auto"/>
        <w:ind w:firstLine="480" w:firstLineChars="200"/>
        <w:rPr>
          <w:rFonts w:hint="eastAsia" w:ascii="宋体" w:hAnsi="宋体"/>
          <w:bCs/>
          <w:color w:val="000000"/>
          <w:sz w:val="24"/>
        </w:rPr>
      </w:pPr>
      <w:r>
        <w:rPr>
          <w:rFonts w:hint="eastAsia" w:ascii="宋体" w:hAnsi="宋体" w:cs="宋体"/>
          <w:sz w:val="24"/>
        </w:rPr>
        <w:t>1.2.档案扫描</w:t>
      </w:r>
      <w:r>
        <w:rPr>
          <w:rFonts w:hint="eastAsia" w:ascii="宋体" w:hAnsi="宋体"/>
          <w:bCs/>
          <w:color w:val="000000"/>
          <w:sz w:val="24"/>
        </w:rPr>
        <w:t>的业务标准</w:t>
      </w:r>
    </w:p>
    <w:p>
      <w:pPr>
        <w:spacing w:line="420" w:lineRule="exact"/>
        <w:ind w:firstLine="480" w:firstLineChars="200"/>
        <w:rPr>
          <w:rFonts w:hint="eastAsia" w:ascii="宋体" w:hAnsi="宋体" w:cs="宋体"/>
          <w:sz w:val="24"/>
        </w:rPr>
      </w:pPr>
      <w:r>
        <w:rPr>
          <w:rFonts w:hint="eastAsia" w:ascii="宋体" w:hAnsi="宋体" w:cs="宋体"/>
          <w:sz w:val="24"/>
        </w:rPr>
        <w:t>1.2.1《中华人民共和国行业标准（</w:t>
      </w:r>
      <w:r>
        <w:rPr>
          <w:rFonts w:ascii="宋体" w:hAnsi="宋体" w:cs="宋体"/>
          <w:sz w:val="24"/>
        </w:rPr>
        <w:t>DA/T 31—2005</w:t>
      </w:r>
      <w:r>
        <w:rPr>
          <w:rFonts w:hint="eastAsia" w:ascii="宋体" w:hAnsi="宋体" w:cs="宋体"/>
          <w:sz w:val="24"/>
        </w:rPr>
        <w:t>）纸质档案数字化技术规范》</w:t>
      </w:r>
    </w:p>
    <w:p>
      <w:pPr>
        <w:spacing w:line="420" w:lineRule="exact"/>
        <w:ind w:firstLine="480" w:firstLineChars="200"/>
        <w:rPr>
          <w:rFonts w:hint="eastAsia" w:ascii="宋体" w:hAnsi="宋体" w:cs="宋体"/>
          <w:sz w:val="24"/>
        </w:rPr>
      </w:pPr>
      <w:r>
        <w:rPr>
          <w:rFonts w:hint="eastAsia" w:ascii="宋体" w:hAnsi="宋体" w:cs="宋体"/>
          <w:sz w:val="24"/>
        </w:rPr>
        <w:t>1.2.2《福建省纸质档案数字化操作规范（试行）》</w:t>
      </w:r>
    </w:p>
    <w:p>
      <w:pPr>
        <w:spacing w:line="420" w:lineRule="exact"/>
        <w:ind w:firstLine="480" w:firstLineChars="200"/>
        <w:rPr>
          <w:rFonts w:hint="eastAsia" w:ascii="宋体" w:hAnsi="宋体" w:cs="宋体"/>
          <w:sz w:val="24"/>
        </w:rPr>
      </w:pPr>
      <w:r>
        <w:rPr>
          <w:rFonts w:hint="eastAsia" w:ascii="宋体" w:hAnsi="宋体" w:cs="宋体"/>
          <w:sz w:val="24"/>
        </w:rPr>
        <w:t>1.2.3《福建省纸质档案数字化操作规范》（试行）</w:t>
      </w:r>
    </w:p>
    <w:p>
      <w:pPr>
        <w:spacing w:line="460" w:lineRule="exact"/>
        <w:ind w:firstLine="360" w:firstLineChars="150"/>
        <w:rPr>
          <w:rFonts w:hint="eastAsia" w:ascii="宋体" w:hAnsi="宋体"/>
          <w:bCs/>
          <w:sz w:val="24"/>
        </w:rPr>
      </w:pPr>
      <w:r>
        <w:rPr>
          <w:rFonts w:hint="eastAsia" w:ascii="宋体" w:hAnsi="宋体"/>
          <w:bCs/>
          <w:sz w:val="24"/>
        </w:rPr>
        <w:t>2、扫描设备</w:t>
      </w:r>
    </w:p>
    <w:p>
      <w:pPr>
        <w:spacing w:line="460" w:lineRule="exact"/>
        <w:ind w:firstLine="480" w:firstLineChars="200"/>
        <w:rPr>
          <w:rFonts w:hint="eastAsia" w:ascii="宋体" w:hAnsi="宋体"/>
          <w:bCs/>
          <w:sz w:val="24"/>
        </w:rPr>
      </w:pPr>
      <w:r>
        <w:rPr>
          <w:rFonts w:hint="eastAsia" w:ascii="宋体" w:hAnsi="宋体"/>
          <w:bCs/>
          <w:sz w:val="24"/>
        </w:rPr>
        <w:t>扫描设备为档案专用的扫描仪，图纸扫描须使用图纸扫描仪扫描，扫描模式为彩色，分辨率在≥300DPI以上；根据档案幅面的大小选择相应规格的扫描仪进行扫描，中标单位需自携设备和人员上门提供加工服务，采购单位只提供场地和必要的档案业务指导。</w:t>
      </w:r>
    </w:p>
    <w:p>
      <w:pPr>
        <w:spacing w:line="460" w:lineRule="exact"/>
        <w:ind w:firstLine="480" w:firstLineChars="200"/>
        <w:rPr>
          <w:rFonts w:hint="eastAsia" w:ascii="宋体" w:hAnsi="宋体"/>
          <w:bCs/>
          <w:sz w:val="24"/>
        </w:rPr>
      </w:pPr>
      <w:r>
        <w:rPr>
          <w:rFonts w:hint="eastAsia" w:ascii="宋体" w:hAnsi="宋体"/>
          <w:bCs/>
          <w:sz w:val="24"/>
        </w:rPr>
        <w:t>3、扫描模式</w:t>
      </w:r>
    </w:p>
    <w:p>
      <w:pPr>
        <w:spacing w:line="460" w:lineRule="exact"/>
        <w:ind w:firstLine="480" w:firstLineChars="200"/>
        <w:rPr>
          <w:rFonts w:hint="eastAsia" w:ascii="宋体" w:hAnsi="宋体"/>
          <w:bCs/>
          <w:sz w:val="24"/>
        </w:rPr>
      </w:pPr>
      <w:r>
        <w:rPr>
          <w:rFonts w:hint="eastAsia" w:ascii="宋体" w:hAnsi="宋体"/>
          <w:bCs/>
          <w:sz w:val="24"/>
        </w:rPr>
        <w:t>扫描模式为彩色，分辨率在≥300DPI以上。</w:t>
      </w:r>
    </w:p>
    <w:p>
      <w:pPr>
        <w:spacing w:line="460" w:lineRule="exact"/>
        <w:ind w:firstLine="480" w:firstLineChars="200"/>
        <w:rPr>
          <w:rFonts w:hint="eastAsia" w:ascii="宋体" w:hAnsi="宋体"/>
          <w:bCs/>
          <w:sz w:val="24"/>
        </w:rPr>
      </w:pPr>
      <w:r>
        <w:rPr>
          <w:rFonts w:hint="eastAsia" w:ascii="宋体" w:hAnsi="宋体"/>
          <w:bCs/>
          <w:sz w:val="24"/>
        </w:rPr>
        <w:t>4、扫描分辨率</w:t>
      </w:r>
    </w:p>
    <w:p>
      <w:pPr>
        <w:spacing w:line="460" w:lineRule="exact"/>
        <w:ind w:firstLine="480" w:firstLineChars="200"/>
        <w:rPr>
          <w:rFonts w:hint="eastAsia" w:ascii="宋体" w:hAnsi="宋体"/>
          <w:bCs/>
          <w:sz w:val="24"/>
        </w:rPr>
      </w:pPr>
      <w:r>
        <w:rPr>
          <w:rFonts w:hint="eastAsia" w:ascii="宋体" w:hAnsi="宋体"/>
          <w:bCs/>
          <w:sz w:val="24"/>
        </w:rPr>
        <w:t>扫描分辨率参数大小的选择，原则上以扫描后的图像清晰、完整、不影响图像的利用效果为准。</w:t>
      </w:r>
    </w:p>
    <w:p>
      <w:pPr>
        <w:spacing w:line="460" w:lineRule="exact"/>
        <w:ind w:firstLine="480" w:firstLineChars="200"/>
        <w:rPr>
          <w:rFonts w:hint="eastAsia" w:ascii="宋体" w:hAnsi="宋体"/>
          <w:bCs/>
          <w:sz w:val="24"/>
        </w:rPr>
      </w:pPr>
      <w:r>
        <w:rPr>
          <w:rFonts w:hint="eastAsia" w:ascii="宋体" w:hAnsi="宋体"/>
          <w:bCs/>
          <w:sz w:val="24"/>
        </w:rPr>
        <w:t>（1）采用彩色模式对档案进行扫描时，其分辨率均选择≥300dpi。特殊情况下，如文字偏小、密集、清晰度较差等，适当提高分辨率到400dpi以上。</w:t>
      </w:r>
    </w:p>
    <w:p>
      <w:pPr>
        <w:spacing w:line="460" w:lineRule="exact"/>
        <w:ind w:firstLine="480" w:firstLineChars="200"/>
        <w:rPr>
          <w:rFonts w:hint="eastAsia" w:ascii="宋体" w:hAnsi="宋体"/>
          <w:bCs/>
          <w:sz w:val="24"/>
        </w:rPr>
      </w:pPr>
      <w:r>
        <w:rPr>
          <w:rFonts w:hint="eastAsia" w:ascii="宋体" w:hAnsi="宋体"/>
          <w:bCs/>
          <w:sz w:val="24"/>
        </w:rPr>
        <w:t>（2）对特殊纸质档案，如照片等，扫描采用彩色，分辨率选择≥600dpi。</w:t>
      </w:r>
    </w:p>
    <w:p>
      <w:pPr>
        <w:spacing w:line="460" w:lineRule="exact"/>
        <w:ind w:firstLine="480" w:firstLineChars="200"/>
        <w:rPr>
          <w:rFonts w:hint="eastAsia" w:ascii="宋体" w:hAnsi="宋体"/>
          <w:bCs/>
          <w:sz w:val="24"/>
        </w:rPr>
      </w:pPr>
      <w:r>
        <w:rPr>
          <w:rFonts w:hint="eastAsia" w:ascii="宋体" w:hAnsi="宋体"/>
          <w:bCs/>
          <w:sz w:val="24"/>
        </w:rPr>
        <w:t>5、扫描规格与命名</w:t>
      </w:r>
    </w:p>
    <w:p>
      <w:pPr>
        <w:spacing w:line="460" w:lineRule="exact"/>
        <w:ind w:firstLine="480" w:firstLineChars="200"/>
        <w:rPr>
          <w:rFonts w:hint="eastAsia" w:ascii="宋体" w:hAnsi="宋体"/>
          <w:bCs/>
          <w:color w:val="FF0000"/>
          <w:sz w:val="24"/>
        </w:rPr>
      </w:pPr>
      <w:r>
        <w:rPr>
          <w:rFonts w:hint="eastAsia" w:ascii="宋体" w:hAnsi="宋体"/>
          <w:bCs/>
          <w:sz w:val="24"/>
        </w:rPr>
        <w:t>（1）对档案数字化加工后，存储的图像文件，单页平均保持在300KB以下。</w:t>
      </w:r>
    </w:p>
    <w:p>
      <w:pPr>
        <w:spacing w:line="460" w:lineRule="exact"/>
        <w:ind w:firstLine="480" w:firstLineChars="200"/>
        <w:rPr>
          <w:rFonts w:hint="eastAsia" w:ascii="宋体" w:hAnsi="宋体"/>
          <w:bCs/>
          <w:sz w:val="24"/>
        </w:rPr>
      </w:pPr>
      <w:r>
        <w:rPr>
          <w:rFonts w:hint="eastAsia" w:ascii="宋体" w:hAnsi="宋体"/>
          <w:bCs/>
          <w:sz w:val="24"/>
        </w:rPr>
        <w:t>（2）纸质档案扫描的图像存储为TIFF格式。</w:t>
      </w:r>
    </w:p>
    <w:p>
      <w:pPr>
        <w:spacing w:line="460" w:lineRule="exact"/>
        <w:ind w:firstLine="480" w:firstLineChars="200"/>
        <w:rPr>
          <w:rFonts w:hint="eastAsia" w:ascii="宋体" w:hAnsi="宋体"/>
          <w:bCs/>
          <w:sz w:val="24"/>
        </w:rPr>
      </w:pPr>
      <w:r>
        <w:rPr>
          <w:rFonts w:hint="eastAsia" w:ascii="宋体" w:hAnsi="宋体"/>
          <w:bCs/>
          <w:sz w:val="24"/>
        </w:rPr>
        <w:t>（3）纸质档案扫描后形成的图像文件以该纸质档案的档号命名。</w:t>
      </w:r>
    </w:p>
    <w:p>
      <w:pPr>
        <w:spacing w:line="460" w:lineRule="exact"/>
        <w:ind w:firstLine="480" w:firstLineChars="200"/>
        <w:rPr>
          <w:rFonts w:hint="eastAsia" w:ascii="宋体" w:hAnsi="宋体"/>
          <w:bCs/>
          <w:sz w:val="24"/>
        </w:rPr>
      </w:pPr>
      <w:r>
        <w:rPr>
          <w:rFonts w:hint="eastAsia" w:ascii="宋体" w:hAnsi="宋体"/>
          <w:bCs/>
          <w:sz w:val="24"/>
        </w:rPr>
        <w:t>（4）格式封装：图像文件的命名率100%合格 。</w:t>
      </w:r>
    </w:p>
    <w:p>
      <w:pPr>
        <w:spacing w:line="540" w:lineRule="exact"/>
        <w:ind w:firstLine="480" w:firstLineChars="200"/>
        <w:rPr>
          <w:rFonts w:hint="eastAsia" w:ascii="宋体" w:hAnsi="宋体"/>
          <w:bCs/>
          <w:sz w:val="24"/>
        </w:rPr>
      </w:pPr>
      <w:r>
        <w:rPr>
          <w:rFonts w:hint="eastAsia" w:ascii="宋体" w:hAnsi="宋体"/>
          <w:bCs/>
          <w:sz w:val="24"/>
        </w:rPr>
        <w:t>（5）条目与图像挂接：挂接正确率100%。</w:t>
      </w:r>
    </w:p>
    <w:p>
      <w:pPr>
        <w:spacing w:line="400" w:lineRule="exact"/>
        <w:ind w:firstLine="360" w:firstLineChars="150"/>
        <w:outlineLvl w:val="2"/>
        <w:rPr>
          <w:rFonts w:hint="eastAsia" w:ascii="宋体" w:hAnsi="宋体" w:cs="宋体"/>
          <w:sz w:val="24"/>
        </w:rPr>
      </w:pPr>
      <w:r>
        <w:rPr>
          <w:rFonts w:hint="eastAsia"/>
          <w:color w:val="000000"/>
          <w:sz w:val="24"/>
        </w:rPr>
        <w:t>6</w:t>
      </w:r>
      <w:r>
        <w:rPr>
          <w:rFonts w:hint="eastAsia" w:ascii="宋体" w:hAnsi="宋体"/>
          <w:color w:val="000000"/>
          <w:sz w:val="24"/>
          <w:szCs w:val="28"/>
        </w:rPr>
        <w:t>.</w:t>
      </w:r>
      <w:r>
        <w:rPr>
          <w:rFonts w:hint="eastAsia"/>
          <w:color w:val="000000"/>
          <w:sz w:val="24"/>
        </w:rPr>
        <w:t xml:space="preserve"> </w:t>
      </w:r>
      <w:bookmarkStart w:id="1" w:name="_Toc483475199"/>
      <w:r>
        <w:rPr>
          <w:rFonts w:hint="eastAsia"/>
          <w:color w:val="000000"/>
          <w:sz w:val="24"/>
        </w:rPr>
        <w:t>档案管理</w:t>
      </w:r>
      <w:r>
        <w:rPr>
          <w:rFonts w:hint="eastAsia" w:ascii="宋体" w:hAnsi="宋体" w:cs="宋体"/>
          <w:sz w:val="24"/>
        </w:rPr>
        <w:t>软件</w:t>
      </w:r>
      <w:bookmarkEnd w:id="1"/>
      <w:r>
        <w:rPr>
          <w:rFonts w:hint="eastAsia" w:ascii="宋体" w:hAnsi="宋体" w:cs="宋体"/>
          <w:sz w:val="24"/>
        </w:rPr>
        <w:t>（</w:t>
      </w:r>
      <w:r>
        <w:rPr>
          <w:rFonts w:hint="eastAsia" w:hAnsi="宋体"/>
          <w:sz w:val="24"/>
        </w:rPr>
        <w:t>馆藏</w:t>
      </w:r>
      <w:r>
        <w:rPr>
          <w:rFonts w:hint="eastAsia" w:ascii="宋体" w:hAnsi="宋体" w:cs="宋体"/>
          <w:sz w:val="24"/>
        </w:rPr>
        <w:t>）服务</w:t>
      </w:r>
      <w:r>
        <w:rPr>
          <w:rFonts w:hint="eastAsia" w:ascii="宋体" w:hAnsi="宋体" w:cs="宋体"/>
          <w:sz w:val="24"/>
          <w:lang w:eastAsia="zh-CN"/>
        </w:rPr>
        <w:t>要求</w:t>
      </w:r>
    </w:p>
    <w:p>
      <w:pPr>
        <w:spacing w:line="400" w:lineRule="exact"/>
        <w:ind w:firstLine="480" w:firstLineChars="200"/>
        <w:rPr>
          <w:rFonts w:hint="eastAsia" w:ascii="宋体" w:hAnsi="宋体" w:cs="宋体"/>
          <w:sz w:val="24"/>
        </w:rPr>
      </w:pPr>
      <w:r>
        <w:rPr>
          <w:rFonts w:hint="eastAsia"/>
          <w:color w:val="000000"/>
          <w:sz w:val="24"/>
        </w:rPr>
        <w:t>服务要求：要能够保证软件正常使用且不影响功能。每季度巡回检查至少1次。在接到投标方通过电话、信函、传真、电子邮件等方式提出关于档案管理系统的服务请求后，必须在一个工作日之内给予响应并提供服务；</w:t>
      </w:r>
      <w:r>
        <w:rPr>
          <w:rFonts w:ascii="宋体" w:hAnsi="宋体"/>
          <w:color w:val="000000"/>
          <w:sz w:val="24"/>
        </w:rPr>
        <w:t>如遇</w:t>
      </w:r>
      <w:r>
        <w:rPr>
          <w:rFonts w:hint="eastAsia" w:ascii="宋体" w:hAnsi="宋体" w:cs="宋体"/>
          <w:color w:val="000000"/>
          <w:sz w:val="24"/>
        </w:rPr>
        <w:t>软件产品故障等</w:t>
      </w:r>
      <w:r>
        <w:rPr>
          <w:rFonts w:hint="eastAsia" w:ascii="宋体" w:hAnsi="宋体"/>
          <w:color w:val="000000"/>
          <w:sz w:val="24"/>
        </w:rPr>
        <w:t>重大问题，要在</w:t>
      </w:r>
      <w:r>
        <w:rPr>
          <w:rFonts w:ascii="宋体" w:hAnsi="宋体"/>
          <w:color w:val="000000"/>
          <w:sz w:val="24"/>
        </w:rPr>
        <w:t>48小时内解决</w:t>
      </w:r>
      <w:r>
        <w:rPr>
          <w:rFonts w:hint="eastAsia" w:ascii="宋体" w:hAnsi="宋体"/>
          <w:color w:val="000000"/>
          <w:sz w:val="24"/>
        </w:rPr>
        <w:t>（遇节假日顺延）或提出合理的解决方案，保证系统的正常运行</w:t>
      </w:r>
      <w:r>
        <w:rPr>
          <w:rFonts w:ascii="宋体" w:hAnsi="宋体"/>
          <w:color w:val="000000"/>
          <w:sz w:val="24"/>
        </w:rPr>
        <w:t>。</w:t>
      </w:r>
    </w:p>
    <w:p>
      <w:pPr>
        <w:spacing w:line="360" w:lineRule="auto"/>
        <w:ind w:firstLine="643" w:firstLineChars="200"/>
        <w:outlineLvl w:val="1"/>
        <w:rPr>
          <w:rFonts w:hint="eastAsia" w:ascii="宋体" w:hAnsi="宋体"/>
          <w:b/>
          <w:bCs/>
          <w:color w:val="000000"/>
          <w:sz w:val="32"/>
          <w:szCs w:val="32"/>
        </w:rPr>
      </w:pPr>
      <w:r>
        <w:rPr>
          <w:rFonts w:hint="eastAsia" w:ascii="宋体" w:hAnsi="宋体"/>
          <w:b/>
          <w:bCs/>
          <w:color w:val="000000"/>
          <w:sz w:val="32"/>
          <w:szCs w:val="32"/>
        </w:rPr>
        <w:t>二、保密与安全</w:t>
      </w:r>
    </w:p>
    <w:p>
      <w:pPr>
        <w:spacing w:line="360" w:lineRule="auto"/>
        <w:ind w:firstLine="480" w:firstLineChars="200"/>
        <w:rPr>
          <w:rFonts w:hint="eastAsia" w:ascii="宋体" w:hAnsi="宋体"/>
          <w:bCs/>
          <w:color w:val="000000"/>
          <w:sz w:val="24"/>
        </w:rPr>
      </w:pPr>
      <w:r>
        <w:rPr>
          <w:rFonts w:hint="eastAsia" w:ascii="宋体" w:hAnsi="宋体"/>
          <w:bCs/>
          <w:color w:val="000000"/>
          <w:sz w:val="24"/>
        </w:rPr>
        <w:t>1、中标单位须在合同中进行责任约定（保密安全协议另签）；中标单位在工作期间必须遵守国家及鼓楼区档案局的相关保密制度；</w:t>
      </w:r>
    </w:p>
    <w:p>
      <w:pPr>
        <w:spacing w:line="360" w:lineRule="auto"/>
        <w:ind w:firstLine="480" w:firstLineChars="200"/>
        <w:rPr>
          <w:rFonts w:hint="eastAsia" w:ascii="宋体" w:hAnsi="宋体"/>
          <w:bCs/>
          <w:color w:val="000000"/>
          <w:sz w:val="24"/>
        </w:rPr>
      </w:pPr>
      <w:r>
        <w:rPr>
          <w:rFonts w:hint="eastAsia" w:ascii="宋体" w:hAnsi="宋体"/>
          <w:bCs/>
          <w:color w:val="000000"/>
          <w:sz w:val="24"/>
        </w:rPr>
        <w:t>2、档案数字化加工后的各种影像、资料所有权属招标单位，各种统计资料、影像资料、光盘资料、纸质资料及各种清单等在项目结束时都必须完整移交；</w:t>
      </w:r>
    </w:p>
    <w:p>
      <w:pPr>
        <w:spacing w:line="360" w:lineRule="auto"/>
        <w:ind w:firstLine="480" w:firstLineChars="200"/>
        <w:rPr>
          <w:rFonts w:hint="eastAsia" w:ascii="宋体" w:hAnsi="宋体"/>
          <w:bCs/>
          <w:color w:val="000000"/>
          <w:sz w:val="24"/>
        </w:rPr>
      </w:pPr>
      <w:r>
        <w:rPr>
          <w:rFonts w:hint="eastAsia" w:ascii="宋体" w:hAnsi="宋体"/>
          <w:bCs/>
          <w:color w:val="000000"/>
          <w:sz w:val="24"/>
        </w:rPr>
        <w:t>3、工作人员不得以任何形式将各项档案资料带出指定工作现场，不得以任何形式进行泄漏、传播；不得无故查看及讨论档案内容。</w:t>
      </w:r>
    </w:p>
    <w:p>
      <w:pPr>
        <w:spacing w:line="360" w:lineRule="auto"/>
        <w:ind w:firstLine="480" w:firstLineChars="200"/>
        <w:rPr>
          <w:rFonts w:hint="eastAsia" w:ascii="宋体" w:hAnsi="宋体"/>
          <w:bCs/>
          <w:color w:val="000000"/>
          <w:sz w:val="24"/>
        </w:rPr>
      </w:pPr>
      <w:r>
        <w:rPr>
          <w:rFonts w:hint="eastAsia" w:ascii="宋体" w:hAnsi="宋体"/>
          <w:bCs/>
          <w:color w:val="000000"/>
          <w:sz w:val="24"/>
        </w:rPr>
        <w:t>4、参与项目实施的人员不得有违法犯罪的记录，不得采用临时聘用人员。中途不得随意更换工作人员，如需更换应征得招标单位同意（特殊情况除外）。</w:t>
      </w:r>
    </w:p>
    <w:p>
      <w:pPr>
        <w:spacing w:line="360" w:lineRule="auto"/>
        <w:ind w:firstLine="480" w:firstLineChars="200"/>
        <w:rPr>
          <w:rFonts w:hint="eastAsia" w:ascii="宋体" w:hAnsi="宋体"/>
          <w:bCs/>
          <w:color w:val="000000"/>
          <w:sz w:val="24"/>
        </w:rPr>
      </w:pPr>
      <w:r>
        <w:rPr>
          <w:rFonts w:hint="eastAsia" w:ascii="宋体" w:hAnsi="宋体"/>
          <w:bCs/>
          <w:color w:val="000000"/>
          <w:sz w:val="24"/>
        </w:rPr>
        <w:t>5、中标单位必须保证档案内容与档案载体的安全，并在合同中进行责任约定；中标单位在工作中必须与采购单位做好档案的安全交接，并有记录。</w:t>
      </w:r>
    </w:p>
    <w:p>
      <w:pPr>
        <w:pStyle w:val="6"/>
        <w:spacing w:line="460" w:lineRule="exact"/>
        <w:ind w:firstLine="472" w:firstLineChars="147"/>
        <w:rPr>
          <w:rFonts w:hint="eastAsia" w:hAnsi="宋体"/>
          <w:b/>
          <w:sz w:val="32"/>
          <w:szCs w:val="32"/>
        </w:rPr>
      </w:pPr>
      <w:bookmarkStart w:id="2" w:name="_Toc411329913"/>
      <w:r>
        <w:rPr>
          <w:rFonts w:hint="eastAsia" w:hAnsi="宋体"/>
          <w:b/>
          <w:sz w:val="32"/>
          <w:szCs w:val="32"/>
        </w:rPr>
        <w:t>三、工作要求</w:t>
      </w:r>
      <w:bookmarkEnd w:id="2"/>
    </w:p>
    <w:p>
      <w:pPr>
        <w:spacing w:line="460" w:lineRule="exact"/>
        <w:ind w:firstLine="480" w:firstLineChars="200"/>
        <w:rPr>
          <w:rFonts w:hint="eastAsia" w:ascii="宋体" w:hAnsi="宋体"/>
          <w:bCs/>
          <w:sz w:val="24"/>
        </w:rPr>
      </w:pPr>
      <w:r>
        <w:rPr>
          <w:rFonts w:hint="eastAsia" w:ascii="宋体" w:hAnsi="宋体"/>
          <w:bCs/>
          <w:sz w:val="24"/>
          <w:lang w:eastAsia="zh-CN"/>
        </w:rPr>
        <w:t>本次</w:t>
      </w:r>
      <w:r>
        <w:rPr>
          <w:rFonts w:hint="eastAsia" w:ascii="宋体" w:hAnsi="宋体"/>
          <w:bCs/>
          <w:sz w:val="24"/>
        </w:rPr>
        <w:t>文书档案</w:t>
      </w:r>
      <w:r>
        <w:rPr>
          <w:rFonts w:hint="eastAsia" w:ascii="宋体" w:hAnsi="宋体"/>
          <w:bCs/>
          <w:sz w:val="24"/>
          <w:lang w:eastAsia="zh-CN"/>
        </w:rPr>
        <w:t>有</w:t>
      </w:r>
      <w:r>
        <w:rPr>
          <w:rFonts w:hint="eastAsia" w:ascii="宋体" w:hAnsi="宋体"/>
          <w:bCs/>
          <w:sz w:val="24"/>
        </w:rPr>
        <w:t>存在抽扫现象。婚姻档案由于历史原因只要彩色扫描婚姻登记表（原黑白）那页，中标单位需把扫描</w:t>
      </w:r>
      <w:r>
        <w:rPr>
          <w:rFonts w:hint="eastAsia" w:ascii="宋体" w:hAnsi="宋体" w:cs="宋体"/>
          <w:bCs/>
          <w:sz w:val="24"/>
        </w:rPr>
        <w:t>好的</w:t>
      </w:r>
      <w:r>
        <w:rPr>
          <w:rFonts w:hint="eastAsia" w:ascii="宋体" w:hAnsi="宋体"/>
          <w:bCs/>
          <w:sz w:val="24"/>
        </w:rPr>
        <w:t>婚姻登记表与其他材料</w:t>
      </w:r>
      <w:r>
        <w:rPr>
          <w:rFonts w:hint="eastAsia" w:ascii="宋体" w:hAnsi="宋体"/>
          <w:bCs/>
          <w:sz w:val="24"/>
          <w:lang w:eastAsia="zh-CN"/>
        </w:rPr>
        <w:t>必须</w:t>
      </w:r>
      <w:r>
        <w:rPr>
          <w:rFonts w:hint="eastAsia" w:ascii="宋体" w:hAnsi="宋体"/>
          <w:bCs/>
          <w:sz w:val="24"/>
        </w:rPr>
        <w:t>对应完好，不得出错。</w:t>
      </w:r>
    </w:p>
    <w:p>
      <w:pPr>
        <w:spacing w:line="460" w:lineRule="exact"/>
        <w:ind w:firstLine="480" w:firstLineChars="200"/>
        <w:rPr>
          <w:rFonts w:hint="eastAsia" w:ascii="宋体" w:hAnsi="宋体"/>
          <w:bCs/>
          <w:sz w:val="24"/>
        </w:rPr>
      </w:pPr>
      <w:r>
        <w:rPr>
          <w:rFonts w:hint="eastAsia" w:ascii="宋体" w:hAnsi="宋体"/>
          <w:bCs/>
          <w:sz w:val="24"/>
        </w:rPr>
        <w:t>1、确保在整理和扫描过程中不对档案原件造成二次损伤。</w:t>
      </w:r>
    </w:p>
    <w:p>
      <w:pPr>
        <w:spacing w:line="360" w:lineRule="auto"/>
        <w:ind w:firstLine="480" w:firstLineChars="200"/>
        <w:rPr>
          <w:rFonts w:hint="eastAsia" w:ascii="宋体" w:hAnsi="宋体"/>
          <w:bCs/>
          <w:sz w:val="24"/>
        </w:rPr>
      </w:pPr>
      <w:r>
        <w:rPr>
          <w:rFonts w:hint="eastAsia" w:ascii="宋体" w:hAnsi="宋体"/>
          <w:bCs/>
          <w:sz w:val="24"/>
        </w:rPr>
        <w:t>2、保证档案扫描图像与原件基本一致，整洁、清晰。扫描图像质量不得低于档案原件复印质量。对图像页面中出现的影响图像质量的杂质如黑点、黑线、黑框、黑边等应进行去污处理。处理过程中应遵循保持档案原貌的原则。采用自动或手动纠偏功能，调整图像角度。图像偏斜度不超过3度。扫描图像：漏扫率≤0.1‰。</w:t>
      </w:r>
    </w:p>
    <w:p>
      <w:pPr>
        <w:spacing w:line="460" w:lineRule="exact"/>
        <w:ind w:firstLine="480" w:firstLineChars="200"/>
        <w:rPr>
          <w:rFonts w:hint="eastAsia" w:ascii="宋体" w:hAnsi="宋体"/>
          <w:bCs/>
          <w:sz w:val="24"/>
        </w:rPr>
      </w:pPr>
      <w:r>
        <w:rPr>
          <w:rFonts w:hint="eastAsia" w:ascii="宋体" w:hAnsi="宋体"/>
          <w:bCs/>
          <w:sz w:val="24"/>
        </w:rPr>
        <w:t>3、档案扫描完成后，需要与现有的计算机目录数据进行一一对应。发现扫描图像的排列顺序与档案原件不一致时，应及时进行调整。图像质量：图像质量不良率≤1%。</w:t>
      </w:r>
    </w:p>
    <w:p>
      <w:pPr>
        <w:spacing w:line="360" w:lineRule="auto"/>
        <w:ind w:firstLine="480" w:firstLineChars="200"/>
        <w:rPr>
          <w:rFonts w:hint="eastAsia" w:ascii="宋体" w:hAnsi="宋体"/>
          <w:bCs/>
          <w:sz w:val="24"/>
        </w:rPr>
      </w:pPr>
      <w:r>
        <w:rPr>
          <w:rFonts w:hint="eastAsia" w:ascii="宋体" w:hAnsi="宋体"/>
          <w:bCs/>
          <w:sz w:val="24"/>
        </w:rPr>
        <w:t>4、整理过程中，如遇档案原件页码编错，或者漏编，应该按照档案相关规范更正或者补编页码。以前著录漏录的要补录，没目录的要编目、录入，错误条目要修改。确保扫描图像与案卷目录、卷内目录100%挂接正确，并将正确的数据导入现有档案数据库中。</w:t>
      </w:r>
    </w:p>
    <w:p>
      <w:pPr>
        <w:spacing w:line="460" w:lineRule="exact"/>
        <w:ind w:firstLine="480" w:firstLineChars="200"/>
        <w:rPr>
          <w:rFonts w:hint="eastAsia" w:ascii="宋体" w:hAnsi="宋体"/>
          <w:bCs/>
          <w:sz w:val="24"/>
        </w:rPr>
      </w:pPr>
      <w:r>
        <w:rPr>
          <w:rFonts w:hint="eastAsia" w:ascii="宋体" w:hAnsi="宋体"/>
          <w:bCs/>
          <w:sz w:val="24"/>
        </w:rPr>
        <w:t>5、档案扫描完成后，要进行细致认真的装订。档案装订应尽可能地按照原来的装订孔进行穿线装订，尽量不要新打孔装订，保证纸张的平整、抚平边角，力求保护原件（若是筒化装订应用缝纫机缝好边）。应遵循“两对齐”要求，即装订线一侧边缘对齐，档案内页下边缘对齐。个别原来没有卷内目录的卷，要把补录的目录打印出来归入卷宗。档案装订：差错率≤1‰。</w:t>
      </w:r>
    </w:p>
    <w:p>
      <w:pPr>
        <w:spacing w:line="460" w:lineRule="exact"/>
        <w:ind w:firstLine="480" w:firstLineChars="200"/>
        <w:outlineLvl w:val="1"/>
        <w:rPr>
          <w:rFonts w:hint="eastAsia" w:ascii="宋体" w:hAnsi="宋体"/>
          <w:bCs/>
          <w:sz w:val="24"/>
        </w:rPr>
      </w:pPr>
      <w:r>
        <w:rPr>
          <w:rFonts w:hint="eastAsia" w:ascii="宋体" w:hAnsi="宋体"/>
          <w:bCs/>
          <w:sz w:val="24"/>
        </w:rPr>
        <w:t>6、档案原始材料：100%不缺失。</w:t>
      </w:r>
    </w:p>
    <w:p>
      <w:pPr>
        <w:spacing w:line="360" w:lineRule="auto"/>
        <w:ind w:firstLine="480" w:firstLineChars="200"/>
        <w:rPr>
          <w:rFonts w:hint="eastAsia" w:ascii="宋体" w:hAnsi="宋体"/>
          <w:bCs/>
          <w:sz w:val="24"/>
        </w:rPr>
      </w:pPr>
      <w:r>
        <w:rPr>
          <w:rFonts w:hint="eastAsia" w:ascii="宋体" w:hAnsi="宋体"/>
          <w:bCs/>
          <w:sz w:val="24"/>
        </w:rPr>
        <w:t>7、档案扫描完成后，需要与鼓搂区档案局档案信息管理系统衔接，电子目录数据进行一一对应。发现扫描图像的排列顺序与档案原件不一致时，应及时进行调整。</w:t>
      </w:r>
    </w:p>
    <w:p>
      <w:pPr>
        <w:spacing w:line="360" w:lineRule="auto"/>
        <w:ind w:firstLine="480" w:firstLineChars="200"/>
        <w:rPr>
          <w:rFonts w:hint="eastAsia" w:ascii="宋体" w:hAnsi="宋体"/>
          <w:bCs/>
          <w:sz w:val="24"/>
        </w:rPr>
      </w:pPr>
      <w:r>
        <w:rPr>
          <w:rFonts w:hint="eastAsia" w:ascii="宋体" w:hAnsi="宋体"/>
          <w:bCs/>
          <w:sz w:val="24"/>
        </w:rPr>
        <w:t>8、扫描过程中，如遇到破损严重的档案，应及时报告。若需中标方按档案标准裱糊，则应收取裱糊材料费4元/页（要求用宣纸及自制糨糊按原样尺寸裱褙，2</w:t>
      </w:r>
      <w:r>
        <w:rPr>
          <w:rFonts w:ascii="宋体" w:hAnsi="宋体"/>
          <w:bCs/>
          <w:sz w:val="24"/>
        </w:rPr>
        <w:t>A4</w:t>
      </w:r>
      <w:r>
        <w:rPr>
          <w:rFonts w:hint="eastAsia" w:ascii="宋体" w:hAnsi="宋体"/>
          <w:bCs/>
          <w:sz w:val="24"/>
        </w:rPr>
        <w:t>=</w:t>
      </w:r>
      <w:r>
        <w:rPr>
          <w:rFonts w:ascii="宋体" w:hAnsi="宋体"/>
          <w:bCs/>
          <w:sz w:val="24"/>
        </w:rPr>
        <w:t xml:space="preserve"> A</w:t>
      </w:r>
      <w:r>
        <w:rPr>
          <w:rFonts w:hint="eastAsia" w:ascii="宋体" w:hAnsi="宋体"/>
          <w:bCs/>
          <w:sz w:val="24"/>
        </w:rPr>
        <w:t>3）。</w:t>
      </w:r>
    </w:p>
    <w:p>
      <w:pPr>
        <w:pStyle w:val="6"/>
        <w:spacing w:line="460" w:lineRule="exact"/>
        <w:ind w:firstLine="482" w:firstLineChars="150"/>
        <w:rPr>
          <w:rFonts w:hint="eastAsia" w:hAnsi="宋体"/>
          <w:b/>
          <w:bCs/>
          <w:sz w:val="32"/>
          <w:szCs w:val="32"/>
        </w:rPr>
      </w:pPr>
      <w:bookmarkStart w:id="3" w:name="_Toc411329915"/>
      <w:r>
        <w:rPr>
          <w:rFonts w:hint="eastAsia" w:hAnsi="宋体"/>
          <w:b/>
          <w:bCs/>
          <w:sz w:val="32"/>
          <w:szCs w:val="32"/>
        </w:rPr>
        <w:t>四、数据备份及挂接</w:t>
      </w:r>
      <w:bookmarkEnd w:id="3"/>
    </w:p>
    <w:p>
      <w:pPr>
        <w:spacing w:line="460" w:lineRule="exact"/>
        <w:ind w:firstLine="480" w:firstLineChars="200"/>
        <w:rPr>
          <w:rFonts w:hint="eastAsia" w:ascii="宋体" w:hAnsi="宋体"/>
          <w:bCs/>
          <w:sz w:val="24"/>
        </w:rPr>
      </w:pPr>
      <w:r>
        <w:rPr>
          <w:rFonts w:hint="eastAsia" w:ascii="宋体" w:hAnsi="宋体"/>
          <w:bCs/>
          <w:sz w:val="24"/>
        </w:rPr>
        <w:t>1、备份范围：经验收合格的完整数据应及时进行备份。</w:t>
      </w:r>
    </w:p>
    <w:p>
      <w:pPr>
        <w:spacing w:line="460" w:lineRule="exact"/>
        <w:ind w:firstLine="480" w:firstLineChars="200"/>
        <w:rPr>
          <w:rFonts w:hint="eastAsia" w:ascii="宋体" w:hAnsi="宋体"/>
          <w:bCs/>
          <w:sz w:val="24"/>
        </w:rPr>
      </w:pPr>
      <w:r>
        <w:rPr>
          <w:rFonts w:hint="eastAsia" w:ascii="宋体" w:hAnsi="宋体"/>
          <w:bCs/>
          <w:sz w:val="24"/>
        </w:rPr>
        <w:t>2、备份方式：为保证数据安全，备份载体的选择应多样化，可采用在线、离线相结合的方式实现多套备份。</w:t>
      </w:r>
    </w:p>
    <w:p>
      <w:pPr>
        <w:spacing w:line="460" w:lineRule="exact"/>
        <w:ind w:firstLine="480" w:firstLineChars="200"/>
        <w:rPr>
          <w:rFonts w:hint="eastAsia" w:ascii="宋体" w:hAnsi="宋体"/>
          <w:bCs/>
          <w:sz w:val="24"/>
        </w:rPr>
      </w:pPr>
      <w:r>
        <w:rPr>
          <w:rFonts w:hint="eastAsia" w:ascii="宋体" w:hAnsi="宋体"/>
          <w:bCs/>
          <w:sz w:val="24"/>
        </w:rPr>
        <w:t>3、备份数据检验：备份数据也应进行检验。备份数据的检验的内容主要包括备份数据能否打开、数据信息是否完整、文件数量是否准确等。</w:t>
      </w:r>
    </w:p>
    <w:p>
      <w:pPr>
        <w:spacing w:line="460" w:lineRule="exact"/>
        <w:ind w:firstLine="480" w:firstLineChars="200"/>
        <w:rPr>
          <w:rFonts w:hint="eastAsia" w:ascii="宋体" w:hAnsi="宋体"/>
          <w:bCs/>
          <w:sz w:val="24"/>
        </w:rPr>
      </w:pPr>
      <w:r>
        <w:rPr>
          <w:rFonts w:hint="eastAsia" w:ascii="宋体" w:hAnsi="宋体"/>
          <w:bCs/>
          <w:sz w:val="24"/>
        </w:rPr>
        <w:t>4、备份标签：数据备份后应在相应的备份介质上做好标签，以便查找和管理（备份介质业主提供）。</w:t>
      </w:r>
    </w:p>
    <w:p>
      <w:pPr>
        <w:spacing w:line="460" w:lineRule="exact"/>
        <w:ind w:firstLine="480" w:firstLineChars="200"/>
        <w:rPr>
          <w:rFonts w:hint="eastAsia" w:ascii="宋体" w:hAnsi="宋体"/>
          <w:bCs/>
          <w:sz w:val="24"/>
        </w:rPr>
      </w:pPr>
      <w:r>
        <w:rPr>
          <w:rFonts w:hint="eastAsia" w:ascii="宋体" w:hAnsi="宋体"/>
          <w:bCs/>
          <w:sz w:val="24"/>
        </w:rPr>
        <w:t>5、数据挂接：要求数字化的档案影像件与目录能准确的与福州市鼓搂区档案局档案信息管理系统无缝衔接，保证系统提出的档案数据的准确性100%。</w:t>
      </w:r>
    </w:p>
    <w:p>
      <w:pPr>
        <w:spacing w:line="460" w:lineRule="exact"/>
        <w:ind w:firstLine="643" w:firstLineChars="200"/>
        <w:rPr>
          <w:rFonts w:hint="eastAsia" w:ascii="宋体" w:hAnsi="宋体"/>
          <w:b/>
          <w:bCs/>
          <w:sz w:val="32"/>
          <w:szCs w:val="32"/>
        </w:rPr>
      </w:pPr>
      <w:r>
        <w:rPr>
          <w:rFonts w:hint="eastAsia" w:ascii="宋体" w:hAnsi="宋体"/>
          <w:b/>
          <w:bCs/>
          <w:sz w:val="32"/>
          <w:szCs w:val="32"/>
        </w:rPr>
        <w:t>五、质保期和售后服务要求</w:t>
      </w:r>
    </w:p>
    <w:p>
      <w:pPr>
        <w:spacing w:line="460" w:lineRule="exact"/>
        <w:ind w:firstLine="480" w:firstLineChars="200"/>
        <w:rPr>
          <w:rFonts w:hint="eastAsia" w:ascii="宋体" w:hAnsi="宋体"/>
          <w:bCs/>
          <w:sz w:val="24"/>
        </w:rPr>
      </w:pPr>
      <w:bookmarkStart w:id="4" w:name="_Toc411329918"/>
      <w:r>
        <w:rPr>
          <w:rFonts w:hint="eastAsia" w:ascii="宋体" w:hAnsi="宋体"/>
          <w:bCs/>
          <w:sz w:val="24"/>
        </w:rPr>
        <w:t>1、本次采购项目验收移交后12个月。自验收合格移交之日算起。保修期内为用户提供数据维护，维修费用由中标人承担，其中包括人工费，差旅费及相应的备件费用（保修期内标准维修服务内容不包括的项目除外）。在免费质量保证期内如出现故障中标供应商应免费提供咨询、维修服务。中标供应商应确认所提供的软硬件设备及最终提供的数据与采购人设备有良好的兼容性。</w:t>
      </w:r>
      <w:bookmarkEnd w:id="4"/>
    </w:p>
    <w:p>
      <w:pPr>
        <w:spacing w:line="460" w:lineRule="exact"/>
        <w:ind w:firstLine="480" w:firstLineChars="200"/>
        <w:rPr>
          <w:rFonts w:hint="eastAsia" w:ascii="宋体" w:hAnsi="宋体"/>
          <w:bCs/>
          <w:sz w:val="24"/>
        </w:rPr>
      </w:pPr>
      <w:bookmarkStart w:id="5" w:name="_Toc411329919"/>
      <w:r>
        <w:rPr>
          <w:rFonts w:hint="eastAsia" w:ascii="宋体" w:hAnsi="宋体"/>
          <w:bCs/>
          <w:sz w:val="24"/>
        </w:rPr>
        <w:t>2、质保期内一旦出现故障，中标供应商响应时间不超过2小时，检修人员应在4小时内到设备安装地点及时排除故障，如故障不能排除，中标供应商应负责使用替代设备，其费用由中标供应商承担。</w:t>
      </w:r>
      <w:bookmarkEnd w:id="5"/>
    </w:p>
    <w:p>
      <w:pPr>
        <w:spacing w:line="460" w:lineRule="exact"/>
        <w:ind w:firstLine="480" w:firstLineChars="200"/>
        <w:rPr>
          <w:rFonts w:hint="eastAsia" w:ascii="宋体" w:hAnsi="宋体"/>
          <w:bCs/>
          <w:sz w:val="24"/>
        </w:rPr>
      </w:pPr>
      <w:bookmarkStart w:id="6" w:name="_Toc411329920"/>
      <w:r>
        <w:rPr>
          <w:rFonts w:hint="eastAsia" w:ascii="宋体" w:hAnsi="宋体"/>
          <w:bCs/>
          <w:sz w:val="24"/>
        </w:rPr>
        <w:t>3、质量保证期结束后，中标供应商提供免费咨询；一旦出现故障，应提供数据维护咨询，并派出检修人员在24小时内到货物安装现场对数据进行维护，只收取检修人员差旅费。</w:t>
      </w:r>
      <w:bookmarkEnd w:id="6"/>
    </w:p>
    <w:p>
      <w:pPr>
        <w:spacing w:line="460" w:lineRule="exact"/>
        <w:ind w:firstLine="480" w:firstLineChars="200"/>
        <w:rPr>
          <w:rFonts w:hint="eastAsia" w:ascii="宋体" w:hAnsi="宋体"/>
          <w:bCs/>
          <w:sz w:val="24"/>
        </w:rPr>
      </w:pPr>
      <w:bookmarkStart w:id="7" w:name="_Toc411329921"/>
      <w:r>
        <w:rPr>
          <w:rFonts w:hint="eastAsia" w:ascii="宋体" w:hAnsi="宋体"/>
          <w:bCs/>
          <w:sz w:val="24"/>
        </w:rPr>
        <w:t>4、投标人可视自身能力在投标文件中提供更优、更合理的维修服务承诺。</w:t>
      </w:r>
      <w:bookmarkEnd w:id="7"/>
    </w:p>
    <w:p>
      <w:pPr>
        <w:spacing w:line="460" w:lineRule="exact"/>
        <w:ind w:firstLine="480" w:firstLineChars="200"/>
        <w:rPr>
          <w:rFonts w:hint="eastAsia" w:ascii="宋体" w:hAnsi="宋体"/>
          <w:bCs/>
          <w:sz w:val="24"/>
        </w:rPr>
      </w:pPr>
      <w:bookmarkStart w:id="8" w:name="_Toc411329922"/>
      <w:r>
        <w:rPr>
          <w:rFonts w:hint="eastAsia" w:ascii="宋体" w:hAnsi="宋体"/>
          <w:bCs/>
          <w:sz w:val="24"/>
        </w:rPr>
        <w:t>5、中标人应结合投标人自检、最终验收阶段，免费为采购人技术人员进行有关货物维护、操作、保养等方面的现场培训，直至能熟练独立操作。</w:t>
      </w:r>
      <w:bookmarkEnd w:id="8"/>
    </w:p>
    <w:p>
      <w:pPr>
        <w:spacing w:line="460" w:lineRule="exact"/>
        <w:ind w:firstLine="480" w:firstLineChars="200"/>
        <w:rPr>
          <w:rFonts w:hint="eastAsia" w:ascii="宋体" w:hAnsi="宋体"/>
          <w:bCs/>
          <w:sz w:val="24"/>
        </w:rPr>
      </w:pPr>
      <w:bookmarkStart w:id="9" w:name="_Toc411329923"/>
      <w:r>
        <w:rPr>
          <w:rFonts w:hint="eastAsia" w:ascii="宋体" w:hAnsi="宋体"/>
          <w:bCs/>
          <w:sz w:val="24"/>
        </w:rPr>
        <w:t>6、中标人如有违反上述保修服务条款或自身承诺，采购人有权没收其履约及质量保证金，造成损失的同时应承担赔偿责任。</w:t>
      </w:r>
      <w:bookmarkEnd w:id="9"/>
    </w:p>
    <w:p>
      <w:pPr>
        <w:spacing w:line="460" w:lineRule="exact"/>
        <w:ind w:firstLine="643" w:firstLineChars="200"/>
        <w:rPr>
          <w:rFonts w:hint="eastAsia" w:ascii="宋体" w:hAnsi="宋体"/>
          <w:b/>
          <w:sz w:val="32"/>
          <w:szCs w:val="32"/>
        </w:rPr>
      </w:pPr>
      <w:bookmarkStart w:id="10" w:name="_Toc339444977"/>
      <w:bookmarkStart w:id="11" w:name="_Toc411329925"/>
      <w:r>
        <w:rPr>
          <w:rFonts w:hint="eastAsia" w:ascii="宋体" w:hAnsi="宋体"/>
          <w:b/>
          <w:sz w:val="32"/>
          <w:szCs w:val="32"/>
        </w:rPr>
        <w:t>五、付款方式</w:t>
      </w:r>
      <w:bookmarkEnd w:id="10"/>
      <w:bookmarkEnd w:id="11"/>
    </w:p>
    <w:p>
      <w:pPr>
        <w:tabs>
          <w:tab w:val="left" w:pos="180"/>
          <w:tab w:val="left" w:pos="870"/>
          <w:tab w:val="left" w:pos="6540"/>
        </w:tabs>
        <w:adjustRightInd w:val="0"/>
        <w:snapToGrid w:val="0"/>
        <w:spacing w:line="360" w:lineRule="auto"/>
        <w:ind w:firstLine="480" w:firstLineChars="200"/>
        <w:rPr>
          <w:rFonts w:hint="eastAsia" w:ascii="宋体" w:hAnsi="宋体"/>
          <w:bCs/>
          <w:sz w:val="24"/>
        </w:rPr>
      </w:pPr>
      <w:r>
        <w:rPr>
          <w:rFonts w:hint="eastAsia" w:ascii="宋体" w:hAnsi="宋体"/>
          <w:bCs/>
          <w:sz w:val="24"/>
        </w:rPr>
        <w:t>付款方式：所有货款均由采购人自行支付，根据项目进度完成提卷、核对档案、著录建库、档案拆卷、档案扫描、图像处理、图像存储、数据质检、修复整理装订、数据挂接、数据验收、数据备份、成果管理、装盒上架等所有环节，且各环节都通过采购人验收合格并可以检索应用，按档案数字化加工的加工量分二批次进行单独结算。</w:t>
      </w:r>
    </w:p>
    <w:p>
      <w:pPr>
        <w:tabs>
          <w:tab w:val="left" w:pos="180"/>
          <w:tab w:val="left" w:pos="870"/>
          <w:tab w:val="left" w:pos="6540"/>
        </w:tabs>
        <w:adjustRightInd w:val="0"/>
        <w:snapToGrid w:val="0"/>
        <w:spacing w:line="360" w:lineRule="auto"/>
        <w:ind w:firstLine="480" w:firstLineChars="200"/>
        <w:rPr>
          <w:rFonts w:hint="eastAsia" w:ascii="宋体" w:hAnsi="宋体"/>
          <w:color w:val="000000"/>
          <w:sz w:val="24"/>
        </w:rPr>
      </w:pPr>
      <w:r>
        <w:rPr>
          <w:rFonts w:ascii="宋体" w:hAnsi="宋体"/>
          <w:color w:val="000000"/>
          <w:sz w:val="24"/>
        </w:rPr>
        <w:t>a.</w:t>
      </w:r>
      <w:r>
        <w:rPr>
          <w:rFonts w:hint="eastAsia" w:ascii="宋体" w:hAnsi="宋体"/>
          <w:color w:val="000000"/>
          <w:sz w:val="24"/>
        </w:rPr>
        <w:t>合同签订后5个工作日支付合同总金额30%预付款；</w:t>
      </w:r>
    </w:p>
    <w:p>
      <w:pPr>
        <w:tabs>
          <w:tab w:val="left" w:pos="180"/>
          <w:tab w:val="left" w:pos="870"/>
          <w:tab w:val="left" w:pos="6540"/>
        </w:tabs>
        <w:adjustRightInd w:val="0"/>
        <w:snapToGrid w:val="0"/>
        <w:spacing w:line="360" w:lineRule="auto"/>
        <w:ind w:firstLine="480" w:firstLineChars="200"/>
        <w:rPr>
          <w:rFonts w:hint="eastAsia" w:ascii="宋体" w:hAnsi="宋体"/>
          <w:color w:val="000000"/>
          <w:sz w:val="24"/>
        </w:rPr>
      </w:pPr>
      <w:r>
        <w:rPr>
          <w:rFonts w:ascii="宋体" w:hAnsi="宋体"/>
          <w:color w:val="000000"/>
          <w:sz w:val="24"/>
        </w:rPr>
        <w:t>b.</w:t>
      </w:r>
      <w:r>
        <w:rPr>
          <w:rFonts w:hint="eastAsia" w:ascii="宋体" w:hAnsi="宋体"/>
          <w:color w:val="000000"/>
          <w:sz w:val="24"/>
        </w:rPr>
        <w:t>项目全部完成验收合格后支付合同总金额70%款项；</w:t>
      </w:r>
    </w:p>
    <w:p>
      <w:pPr>
        <w:spacing w:line="460" w:lineRule="exact"/>
        <w:ind w:firstLine="315" w:firstLineChars="98"/>
        <w:rPr>
          <w:rFonts w:hint="eastAsia" w:ascii="宋体" w:hAnsi="宋体"/>
          <w:b/>
          <w:sz w:val="32"/>
          <w:szCs w:val="32"/>
        </w:rPr>
      </w:pPr>
      <w:r>
        <w:rPr>
          <w:rFonts w:hint="eastAsia" w:ascii="宋体" w:hAnsi="宋体"/>
          <w:b/>
          <w:sz w:val="32"/>
          <w:szCs w:val="32"/>
        </w:rPr>
        <w:t>七、要求：</w:t>
      </w:r>
    </w:p>
    <w:p>
      <w:pPr>
        <w:spacing w:line="460" w:lineRule="exact"/>
        <w:ind w:firstLine="480" w:firstLineChars="200"/>
        <w:rPr>
          <w:rFonts w:hint="eastAsia" w:ascii="宋体" w:hAnsi="宋体"/>
          <w:bCs/>
          <w:sz w:val="24"/>
        </w:rPr>
      </w:pPr>
      <w:r>
        <w:rPr>
          <w:rFonts w:hint="eastAsia" w:ascii="宋体" w:hAnsi="宋体"/>
          <w:bCs/>
          <w:sz w:val="24"/>
        </w:rPr>
        <w:t>1、投标人报价应包含档案的规范化整理、扫描和电子数据转化等数字化加工服务、设备安装调试、保修且验收合格的价格及其他相关费用（包括但不限于：代理机构提交的代理服务费、售后服务费、税费、检验费、检测费等）。以及所有根据合同或其它原因应由投标人支付的税金和其它应缴的费用，以及可合理推断的责任和义务。</w:t>
      </w:r>
    </w:p>
    <w:p>
      <w:pPr>
        <w:spacing w:line="460" w:lineRule="exact"/>
        <w:ind w:firstLine="480" w:firstLineChars="200"/>
        <w:rPr>
          <w:rFonts w:hint="eastAsia" w:ascii="宋体" w:hAnsi="宋体"/>
          <w:bCs/>
          <w:sz w:val="24"/>
        </w:rPr>
      </w:pPr>
      <w:r>
        <w:rPr>
          <w:rFonts w:hint="eastAsia" w:ascii="宋体" w:hAnsi="宋体"/>
          <w:bCs/>
          <w:sz w:val="24"/>
        </w:rPr>
        <w:t>2、本次预算价总价不高于1</w:t>
      </w:r>
      <w:r>
        <w:rPr>
          <w:rFonts w:hint="eastAsia" w:ascii="宋体" w:hAnsi="宋体"/>
          <w:bCs/>
          <w:sz w:val="24"/>
          <w:lang w:val="en-US" w:eastAsia="zh-CN"/>
        </w:rPr>
        <w:t>50</w:t>
      </w:r>
      <w:r>
        <w:rPr>
          <w:rFonts w:hint="eastAsia" w:ascii="宋体" w:hAnsi="宋体"/>
          <w:bCs/>
          <w:sz w:val="24"/>
        </w:rPr>
        <w:t>000元，否则按无效标处理。</w:t>
      </w:r>
    </w:p>
    <w:p>
      <w:pPr>
        <w:spacing w:line="460" w:lineRule="exact"/>
        <w:ind w:firstLine="480" w:firstLineChars="200"/>
        <w:rPr>
          <w:rFonts w:hint="eastAsia" w:ascii="宋体" w:hAnsi="宋体"/>
          <w:bCs/>
          <w:sz w:val="24"/>
        </w:rPr>
      </w:pPr>
      <w:r>
        <w:rPr>
          <w:rFonts w:hint="eastAsia" w:ascii="宋体" w:hAnsi="宋体"/>
          <w:bCs/>
          <w:sz w:val="24"/>
        </w:rPr>
        <w:t>3、投标人在分项报价表中详细列出各项明细报价，如果所列分项报价不含以上，则视为已含在投标总价中。</w:t>
      </w:r>
    </w:p>
    <w:p>
      <w:pPr>
        <w:spacing w:line="460" w:lineRule="exact"/>
        <w:ind w:firstLine="480" w:firstLineChars="200"/>
        <w:rPr>
          <w:rFonts w:hint="eastAsia" w:ascii="宋体" w:hAnsi="宋体"/>
          <w:bCs/>
          <w:sz w:val="24"/>
        </w:rPr>
      </w:pPr>
      <w:r>
        <w:rPr>
          <w:rFonts w:hint="eastAsia" w:ascii="宋体" w:hAnsi="宋体"/>
          <w:bCs/>
          <w:sz w:val="24"/>
        </w:rPr>
        <w:t>4、投标人在投标前必须详细勘察设备安装现场的实际状况是否符合设备安装、使用的技术要求，并根据勘察结果作出合理判断，计算并承担现场整改所需的全部费用。</w:t>
      </w:r>
    </w:p>
    <w:p>
      <w:pPr>
        <w:spacing w:line="460" w:lineRule="exact"/>
        <w:ind w:firstLine="643" w:firstLineChars="200"/>
        <w:rPr>
          <w:rFonts w:hint="eastAsia" w:ascii="宋体" w:hAnsi="宋体"/>
          <w:b/>
          <w:sz w:val="32"/>
          <w:szCs w:val="32"/>
        </w:rPr>
      </w:pPr>
      <w:r>
        <w:rPr>
          <w:rFonts w:hint="eastAsia" w:ascii="宋体" w:hAnsi="宋体"/>
          <w:b/>
          <w:sz w:val="32"/>
          <w:szCs w:val="32"/>
        </w:rPr>
        <w:t>八、完工期：</w:t>
      </w:r>
    </w:p>
    <w:p>
      <w:pPr>
        <w:spacing w:line="460" w:lineRule="exact"/>
        <w:ind w:firstLine="480" w:firstLineChars="200"/>
        <w:rPr>
          <w:rFonts w:hint="eastAsia" w:ascii="宋体" w:hAnsi="宋体"/>
          <w:bCs/>
          <w:sz w:val="24"/>
        </w:rPr>
      </w:pPr>
      <w:r>
        <w:rPr>
          <w:rFonts w:hint="eastAsia" w:ascii="宋体" w:hAnsi="宋体"/>
          <w:bCs/>
          <w:sz w:val="24"/>
        </w:rPr>
        <w:t>自中标通知书发出之日起7个工作日内签订合同，签订合同后在2个月内（提卷、核对档案、著录建库、档案拆卷、档案扫描、图像处理、图像存储、数据质检、修复整理装订、数据挂接、数据验收、数据备份、成果管理、装盒、上架等）全部交货、验收合格、交付使用。</w:t>
      </w:r>
    </w:p>
    <w:p>
      <w:pPr>
        <w:spacing w:line="460" w:lineRule="exact"/>
        <w:ind w:firstLine="643" w:firstLineChars="200"/>
      </w:pPr>
      <w:r>
        <w:rPr>
          <w:rFonts w:hint="eastAsia" w:ascii="宋体" w:hAnsi="宋体"/>
          <w:b/>
          <w:sz w:val="32"/>
          <w:szCs w:val="32"/>
        </w:rPr>
        <w:t>九、完工地点：</w:t>
      </w:r>
      <w:r>
        <w:rPr>
          <w:rFonts w:hint="eastAsia" w:ascii="宋体" w:hAnsi="宋体"/>
          <w:bCs/>
          <w:sz w:val="24"/>
        </w:rPr>
        <w:t>福州市鼓楼区档案馆（按用户指定地点）。</w:t>
      </w:r>
    </w:p>
    <w:p/>
    <w:p>
      <w:bookmarkStart w:id="12" w:name="_GoBack"/>
      <w:bookmarkEnd w:id="12"/>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4690937"/>
    <w:rsid w:val="34690937"/>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Plain Text"/>
    <w:basedOn w:val="1"/>
    <w:uiPriority w:val="0"/>
    <w:rPr>
      <w:rFonts w:ascii="宋体" w:hAnsi="Courier New" w:cs="Courier New"/>
      <w:szCs w:val="21"/>
    </w:rPr>
  </w:style>
  <w:style w:type="paragraph" w:styleId="3">
    <w:name w:val="Normal (Web)"/>
    <w:basedOn w:val="1"/>
    <w:uiPriority w:val="0"/>
    <w:pPr>
      <w:widowControl/>
      <w:spacing w:before="100" w:beforeLines="0" w:beforeAutospacing="1" w:after="100" w:afterLines="0" w:afterAutospacing="1"/>
      <w:jc w:val="left"/>
    </w:pPr>
    <w:rPr>
      <w:rFonts w:ascii="宋体" w:hAnsi="宋体" w:cs="宋体"/>
      <w:kern w:val="0"/>
      <w:sz w:val="24"/>
    </w:rPr>
  </w:style>
  <w:style w:type="paragraph" w:customStyle="1" w:styleId="6">
    <w:name w:val="样式3"/>
    <w:basedOn w:val="2"/>
    <w:uiPriority w:val="0"/>
    <w:pPr>
      <w:spacing w:line="0" w:lineRule="atLeast"/>
      <w:outlineLvl w:val="0"/>
    </w:pPr>
    <w:rPr>
      <w:rFonts w:cs="Times New Roman"/>
      <w:sz w:val="28"/>
      <w:szCs w:val="2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Office_10.8.0.5715_F1E327BC-269C-435d-A152-05C5408002CA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2018-09-03T01:00:00Z</dcterms:created>
  <dc:creator>rubiaceae</dc:creator>
  <cp:lastModifiedBy>rubiaceae</cp:lastModifiedBy>
  <dcterms:modified xsi:type="dcterms:W3CDTF">2018-09-03T01:01:20Z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ies>
</file>