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92" w:type="dxa"/>
        <w:tblInd w:w="96" w:type="dxa"/>
        <w:tblLayout w:type="fixed"/>
        <w:tblCellMar>
          <w:top w:w="0" w:type="dxa"/>
          <w:left w:w="108" w:type="dxa"/>
          <w:bottom w:w="0" w:type="dxa"/>
          <w:right w:w="108" w:type="dxa"/>
        </w:tblCellMar>
      </w:tblPr>
      <w:tblGrid>
        <w:gridCol w:w="912"/>
        <w:gridCol w:w="2240"/>
        <w:gridCol w:w="1900"/>
        <w:gridCol w:w="9040"/>
      </w:tblGrid>
      <w:tr>
        <w:tblPrEx>
          <w:tblLayout w:type="fixed"/>
          <w:tblCellMar>
            <w:top w:w="0" w:type="dxa"/>
            <w:left w:w="108" w:type="dxa"/>
            <w:bottom w:w="0" w:type="dxa"/>
            <w:right w:w="108" w:type="dxa"/>
          </w:tblCellMar>
        </w:tblPrEx>
        <w:trPr>
          <w:trHeight w:val="864" w:hRule="atLeast"/>
        </w:trPr>
        <w:tc>
          <w:tcPr>
            <w:tcW w:w="14092" w:type="dxa"/>
            <w:gridSpan w:val="4"/>
            <w:tcBorders>
              <w:top w:val="nil"/>
              <w:left w:val="nil"/>
              <w:bottom w:val="single" w:color="auto" w:sz="4" w:space="0"/>
              <w:right w:val="nil"/>
            </w:tcBorders>
            <w:vAlign w:val="center"/>
          </w:tcPr>
          <w:p>
            <w:pPr>
              <w:widowControl/>
              <w:jc w:val="center"/>
              <w:rPr>
                <w:rFonts w:hint="eastAsia" w:ascii="黑体" w:hAnsi="仿宋" w:eastAsia="黑体" w:cs="宋体"/>
                <w:b/>
                <w:bCs/>
                <w:sz w:val="32"/>
                <w:szCs w:val="32"/>
                <w:lang w:val="en-US"/>
              </w:rPr>
            </w:pPr>
            <w:bookmarkStart w:id="0" w:name="_GoBack"/>
            <w:r>
              <w:rPr>
                <w:rFonts w:hint="eastAsia" w:ascii="黑体" w:hAnsi="仿宋" w:eastAsia="黑体" w:cs="宋体"/>
                <w:b/>
                <w:bCs/>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-1025525</wp:posOffset>
                      </wp:positionH>
                      <wp:positionV relativeFrom="paragraph">
                        <wp:posOffset>-5080</wp:posOffset>
                      </wp:positionV>
                      <wp:extent cx="762000" cy="365125"/>
                      <wp:effectExtent l="0" t="0" r="0" b="0"/>
                      <wp:wrapSquare wrapText="bothSides"/>
                      <wp:docPr id="1" name="文本框 2"/>
                      <wp:cNvGraphicFramePr/>
                      <a:graphic xmlns:a="http://schemas.openxmlformats.org/drawingml/2006/main">
                        <a:graphicData uri="http://schemas.microsoft.com/office/word/2010/wordprocessingShape">
                          <wps:wsp>
                            <wps:cNvSpPr txBox="1"/>
                            <wps:spPr>
                              <a:xfrm>
                                <a:off x="0" y="0"/>
                                <a:ext cx="762000" cy="365125"/>
                              </a:xfrm>
                              <a:prstGeom prst="rect">
                                <a:avLst/>
                              </a:prstGeom>
                              <a:noFill/>
                              <a:ln w="9525">
                                <a:noFill/>
                              </a:ln>
                            </wps:spPr>
                            <wps:txbx>
                              <w:txbxContent>
                                <w:p>
                                  <w:pPr>
                                    <w:rPr>
                                      <w:rFonts w:hint="eastAsia" w:ascii="仿宋" w:hAnsi="仿宋" w:eastAsia="仿宋"/>
                                      <w:sz w:val="30"/>
                                      <w:szCs w:val="30"/>
                                    </w:rPr>
                                  </w:pPr>
                                  <w:r>
                                    <w:rPr>
                                      <w:rFonts w:hint="eastAsia" w:ascii="仿宋" w:hAnsi="仿宋" w:eastAsia="仿宋"/>
                                      <w:sz w:val="30"/>
                                      <w:szCs w:val="30"/>
                                    </w:rPr>
                                    <w:t>附件1</w:t>
                                  </w:r>
                                </w:p>
                              </w:txbxContent>
                            </wps:txbx>
                            <wps:bodyPr upright="1"/>
                          </wps:wsp>
                        </a:graphicData>
                      </a:graphic>
                    </wp:anchor>
                  </w:drawing>
                </mc:Choice>
                <mc:Fallback>
                  <w:pict>
                    <v:shape id="文本框 2" o:spid="_x0000_s1026" o:spt="202" type="#_x0000_t202" style="position:absolute;left:0pt;margin-left:-80.75pt;margin-top:-0.4pt;height:28.75pt;width:60pt;mso-wrap-distance-bottom:0pt;mso-wrap-distance-left:9pt;mso-wrap-distance-right:9pt;mso-wrap-distance-top:0pt;z-index:251658240;mso-width-relative:page;mso-height-relative:page;" filled="f" stroked="f" coordsize="21600,21600" o:gfxdata="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TekuLVAAAACQEAAA8AAAAAAAAAAQAgAAAAIgAAAGRycy9k&#10;b3ducmV2LnhtbFBLAQIUABQAAAAIAIdO4kBJ+wdGkwEAAAgDAAAOAAAAAAAAAAEAIAAAACQBAABk&#10;cnMvZTJvRG9jLnhtbFBLBQYAAAAABgAGAFkBAAApBQAAAAA=&#10;">
                      <v:path/>
                      <v:fill on="f" focussize="0,0"/>
                      <v:stroke on="f"/>
                      <v:imagedata o:title=""/>
                      <o:lock v:ext="edit"/>
                      <v:textbox>
                        <w:txbxContent>
                          <w:p>
                            <w:pPr>
                              <w:rPr>
                                <w:rFonts w:hint="eastAsia" w:ascii="仿宋" w:hAnsi="仿宋" w:eastAsia="仿宋"/>
                                <w:sz w:val="30"/>
                                <w:szCs w:val="30"/>
                              </w:rPr>
                            </w:pPr>
                            <w:r>
                              <w:rPr>
                                <w:rFonts w:hint="eastAsia" w:ascii="仿宋" w:hAnsi="仿宋" w:eastAsia="仿宋"/>
                                <w:sz w:val="30"/>
                                <w:szCs w:val="30"/>
                              </w:rPr>
                              <w:t>附件1</w:t>
                            </w:r>
                          </w:p>
                        </w:txbxContent>
                      </v:textbox>
                      <w10:wrap type="square"/>
                    </v:shape>
                  </w:pict>
                </mc:Fallback>
              </mc:AlternateContent>
            </w:r>
            <w:r>
              <w:rPr>
                <w:rFonts w:hint="eastAsia" w:ascii="黑体" w:hAnsi="仿宋" w:eastAsia="黑体" w:cs="宋体"/>
                <w:b/>
                <w:bCs/>
                <w:sz w:val="32"/>
                <w:szCs w:val="32"/>
                <w:lang w:val="en-US"/>
              </w:rPr>
              <w:t>财政（</w:t>
            </w:r>
            <w:r>
              <w:rPr>
                <w:rFonts w:hint="eastAsia" w:ascii="黑体" w:hAnsi="仿宋" w:eastAsia="黑体" w:cs="宋体"/>
                <w:b/>
                <w:bCs/>
                <w:sz w:val="32"/>
                <w:szCs w:val="32"/>
                <w:lang w:val="en-US" w:eastAsia="zh-CN"/>
              </w:rPr>
              <w:t>区</w:t>
            </w:r>
            <w:r>
              <w:rPr>
                <w:rFonts w:hint="eastAsia" w:ascii="黑体" w:hAnsi="仿宋" w:eastAsia="黑体" w:cs="宋体"/>
                <w:b/>
                <w:bCs/>
                <w:sz w:val="32"/>
                <w:szCs w:val="32"/>
                <w:lang w:val="en-US"/>
              </w:rPr>
              <w:t>级专项资金）惩戒项目清单（</w:t>
            </w:r>
            <w:r>
              <w:rPr>
                <w:rFonts w:hint="eastAsia" w:ascii="黑体" w:hAnsi="仿宋" w:eastAsia="黑体" w:cs="宋体"/>
                <w:b/>
                <w:bCs/>
                <w:sz w:val="32"/>
                <w:szCs w:val="32"/>
                <w:lang w:val="en-US" w:eastAsia="zh-CN"/>
              </w:rPr>
              <w:t>区</w:t>
            </w:r>
            <w:r>
              <w:rPr>
                <w:rFonts w:hint="eastAsia" w:ascii="黑体" w:hAnsi="仿宋" w:eastAsia="黑体" w:cs="宋体"/>
                <w:b/>
                <w:bCs/>
                <w:sz w:val="32"/>
                <w:szCs w:val="32"/>
                <w:lang w:val="en-US"/>
              </w:rPr>
              <w:t>财政局执行）</w:t>
            </w:r>
          </w:p>
        </w:tc>
      </w:tr>
      <w:tr>
        <w:tblPrEx>
          <w:tblLayout w:type="fixed"/>
          <w:tblCellMar>
            <w:top w:w="0" w:type="dxa"/>
            <w:left w:w="108" w:type="dxa"/>
            <w:bottom w:w="0" w:type="dxa"/>
            <w:right w:w="108" w:type="dxa"/>
          </w:tblCellMar>
        </w:tblPrEx>
        <w:trPr>
          <w:trHeight w:val="708" w:hRule="atLeast"/>
        </w:trPr>
        <w:tc>
          <w:tcPr>
            <w:tcW w:w="91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lang w:val="en-US"/>
              </w:rPr>
            </w:pPr>
            <w:r>
              <w:rPr>
                <w:rFonts w:hint="eastAsia" w:ascii="宋体" w:hAnsi="宋体" w:eastAsia="宋体" w:cs="宋体"/>
                <w:b/>
                <w:bCs/>
                <w:lang w:val="en-US"/>
              </w:rPr>
              <w:t>惩戒对象</w:t>
            </w:r>
          </w:p>
        </w:tc>
        <w:tc>
          <w:tcPr>
            <w:tcW w:w="224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lang w:val="en-US"/>
              </w:rPr>
            </w:pPr>
            <w:r>
              <w:rPr>
                <w:rFonts w:hint="eastAsia" w:ascii="宋体" w:hAnsi="宋体" w:eastAsia="宋体" w:cs="宋体"/>
                <w:b/>
                <w:bCs/>
                <w:lang w:val="en-US"/>
              </w:rPr>
              <w:t>严重失信行为认定</w:t>
            </w:r>
          </w:p>
        </w:tc>
        <w:tc>
          <w:tcPr>
            <w:tcW w:w="1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lang w:val="en-US"/>
              </w:rPr>
            </w:pPr>
            <w:r>
              <w:rPr>
                <w:rFonts w:hint="eastAsia" w:ascii="宋体" w:hAnsi="宋体" w:eastAsia="宋体" w:cs="宋体"/>
                <w:b/>
                <w:bCs/>
                <w:lang w:val="en-US"/>
              </w:rPr>
              <w:t>惩戒措施</w:t>
            </w:r>
          </w:p>
        </w:tc>
        <w:tc>
          <w:tcPr>
            <w:tcW w:w="904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lang w:val="en-US"/>
              </w:rPr>
            </w:pPr>
            <w:r>
              <w:rPr>
                <w:rFonts w:hint="eastAsia" w:ascii="宋体" w:hAnsi="宋体" w:eastAsia="宋体" w:cs="宋体"/>
                <w:b/>
                <w:bCs/>
                <w:lang w:val="en-US"/>
              </w:rPr>
              <w:t>法律依据</w:t>
            </w:r>
          </w:p>
        </w:tc>
      </w:tr>
      <w:tr>
        <w:tblPrEx>
          <w:tblLayout w:type="fixed"/>
          <w:tblCellMar>
            <w:top w:w="0" w:type="dxa"/>
            <w:left w:w="108" w:type="dxa"/>
            <w:bottom w:w="0" w:type="dxa"/>
            <w:right w:w="108" w:type="dxa"/>
          </w:tblCellMar>
        </w:tblPrEx>
        <w:trPr>
          <w:trHeight w:val="6497" w:hRule="atLeast"/>
        </w:trPr>
        <w:tc>
          <w:tcPr>
            <w:tcW w:w="912" w:type="dxa"/>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lang w:val="en-US"/>
              </w:rPr>
            </w:pPr>
            <w:r>
              <w:rPr>
                <w:rFonts w:hint="eastAsia" w:ascii="仿宋" w:hAnsi="仿宋" w:eastAsia="仿宋" w:cs="宋体"/>
                <w:sz w:val="20"/>
                <w:szCs w:val="20"/>
                <w:lang w:val="en-US"/>
              </w:rPr>
              <w:t>违法违规使用</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级专项资金的机关、事业单位、企业及个人</w:t>
            </w:r>
          </w:p>
        </w:tc>
        <w:tc>
          <w:tcPr>
            <w:tcW w:w="2240" w:type="dxa"/>
            <w:tcBorders>
              <w:top w:val="single" w:color="auto" w:sz="4" w:space="0"/>
              <w:left w:val="nil"/>
              <w:bottom w:val="single" w:color="auto" w:sz="4" w:space="0"/>
              <w:right w:val="single" w:color="auto" w:sz="4" w:space="0"/>
            </w:tcBorders>
            <w:vAlign w:val="center"/>
          </w:tcPr>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1、虚构或伪造、篡改项目立项以及土地、规划、环保、安全、节能等相关批复文件的；</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2、虚报项目投资额、贷款额、担保额等，直接影响财政专项资金分配结果的；</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3、伪造项目单位财务状况及经济效益指标，粉饰会计报表</w:t>
            </w:r>
            <w:r>
              <w:rPr>
                <w:rFonts w:ascii="仿宋" w:hAnsi="仿宋" w:eastAsia="仿宋" w:cs="宋体"/>
                <w:sz w:val="20"/>
                <w:szCs w:val="20"/>
                <w:lang w:val="en-US"/>
              </w:rPr>
              <w:t xml:space="preserve"> </w:t>
            </w:r>
            <w:r>
              <w:rPr>
                <w:rFonts w:hint="eastAsia" w:ascii="仿宋" w:hAnsi="仿宋" w:eastAsia="仿宋" w:cs="宋体"/>
                <w:sz w:val="20"/>
                <w:szCs w:val="20"/>
                <w:lang w:val="en-US"/>
              </w:rPr>
              <w:t>并直接影响财政专项资金分配结果的；</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widowControl/>
              <w:rPr>
                <w:rFonts w:ascii="仿宋" w:hAnsi="仿宋" w:eastAsia="仿宋" w:cs="宋体"/>
                <w:sz w:val="20"/>
                <w:szCs w:val="20"/>
                <w:lang w:val="en-US"/>
              </w:rPr>
            </w:pP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1、存在上述失信行为的部门、单位或个人对相关申报单位的主要负责人和直接责任人，将其失信行为录入个人信用档案，并釆取相应的失信惩戒措施。</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2、相关社会中介机构对项目单位会计报表等资料出具不实鉴证报告的，三年内不采信其为所有</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级专项资金申报出具的鉴证报告。对相关社会中介机构的直接责任人，将其失信行为录入个人信用档案，并釆取相应的失信惩戒措施。</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3、相关县（市）区财政及主管部门所辖的申报单位存在上述失信行为，以及因审核把关不严造成本地区骗取、套取或挤占挪用</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级专项资金等问题突出的，</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财政将会同</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相关主管部门书面通知其整改，并在一定范围内进行通报。其中经</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级及以上审计或财政部门认定存在失信行为的，</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财政将会同</w:t>
            </w:r>
            <w:r>
              <w:rPr>
                <w:rFonts w:hint="eastAsia" w:ascii="仿宋" w:hAnsi="仿宋" w:eastAsia="仿宋" w:cs="宋体"/>
                <w:sz w:val="20"/>
                <w:szCs w:val="20"/>
                <w:lang w:val="en-US" w:eastAsia="zh-CN"/>
              </w:rPr>
              <w:t>区</w:t>
            </w:r>
            <w:r>
              <w:rPr>
                <w:rFonts w:hint="eastAsia" w:ascii="仿宋" w:hAnsi="仿宋" w:eastAsia="仿宋" w:cs="宋体"/>
                <w:sz w:val="20"/>
                <w:szCs w:val="20"/>
                <w:lang w:val="en-US"/>
              </w:rPr>
              <w:t>相关主管部门调减该地区此项专项资金下年度安排额度；情节特别严重的，下年度不予安排该地区此项专项资金。</w:t>
            </w:r>
          </w:p>
          <w:p>
            <w:pPr>
              <w:widowControl/>
              <w:rPr>
                <w:rFonts w:ascii="仿宋" w:hAnsi="仿宋" w:eastAsia="仿宋" w:cs="宋体"/>
                <w:sz w:val="20"/>
                <w:szCs w:val="20"/>
                <w:lang w:val="en-US"/>
              </w:rPr>
            </w:pPr>
          </w:p>
        </w:tc>
        <w:tc>
          <w:tcPr>
            <w:tcW w:w="904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宋体"/>
                <w:sz w:val="20"/>
                <w:szCs w:val="20"/>
                <w:lang w:val="en-US"/>
              </w:rPr>
            </w:pPr>
            <w:r>
              <w:rPr>
                <w:rFonts w:hint="eastAsia" w:ascii="仿宋" w:hAnsi="仿宋" w:eastAsia="仿宋" w:cs="宋体"/>
                <w:b/>
                <w:sz w:val="20"/>
                <w:szCs w:val="20"/>
                <w:lang w:val="en-US"/>
              </w:rPr>
              <w:t>一、 依法处理财政违法违规行为</w:t>
            </w:r>
            <w:r>
              <w:rPr>
                <w:rFonts w:hint="eastAsia" w:ascii="仿宋" w:hAnsi="仿宋" w:eastAsia="仿宋" w:cs="宋体"/>
                <w:b/>
                <w:sz w:val="20"/>
                <w:szCs w:val="20"/>
                <w:lang w:val="en-US"/>
              </w:rPr>
              <w:br w:type="textWrapping"/>
            </w:r>
            <w:r>
              <w:rPr>
                <w:rFonts w:hint="eastAsia" w:ascii="仿宋" w:hAnsi="仿宋" w:eastAsia="仿宋" w:cs="宋体"/>
                <w:b/>
                <w:sz w:val="20"/>
                <w:szCs w:val="20"/>
                <w:lang w:val="en-US"/>
              </w:rPr>
              <w:t>1.《中华人民共和国预算法》</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第三十五条地方各级预算按照量入为出、收支平衡的原则编制，除本法另有规定外，不列赤字。</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除前款规定外，地方政府及其所属部门不得以任何方式举借债务。</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除法律另有规定外，地方政府及其所属部门不得为任何单位和个人的债务以任何方式提供担保。</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国务院建立地方政府债务风险评估和预警机制、应急处置机制以及责任追宄制度。国务院财政部门对地方政府债务实施监督。</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第九十二条各级政府及有关部门有下列行为之一的，责令改正，对负有直接责任的主管人员和其他直接责任人员追</w:t>
            </w:r>
            <w:r>
              <w:rPr>
                <w:rFonts w:hint="eastAsia" w:ascii="仿宋" w:hAnsi="仿宋" w:eastAsia="仿宋" w:cs="宋体"/>
                <w:sz w:val="20"/>
                <w:szCs w:val="20"/>
                <w:lang w:val="en-US" w:eastAsia="zh-CN"/>
              </w:rPr>
              <w:t>究</w:t>
            </w:r>
            <w:r>
              <w:rPr>
                <w:rFonts w:hint="eastAsia" w:ascii="仿宋" w:hAnsi="仿宋" w:eastAsia="仿宋" w:cs="宋体"/>
                <w:sz w:val="20"/>
                <w:szCs w:val="20"/>
                <w:lang w:val="en-US"/>
              </w:rPr>
              <w:t>行政责任： (一）未依照本法规定，编制、报送预算草案、预算调整方案、决算草案和部门预算、决算以及批复预算、决算的； (二）违反本法规定，进行预算调整的； (三）未依照本法规定对有关预算事项进行公开和说明的； (四）违反规定设立政府性基金项目和其他财政收入项目的； (五）违反法律、法规规定使用预算预备费、预算周转金、预算稳定调节基金、超收收入的； (六） 违反本法规定开设财政专户的。</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第九十三条各级政府及有关部门、单位有下列行为之一的，责令改正，对负有直接责任的主管人员和其他直接责任人员依法给予降级、撤职、开除的处分： (一）未将所有政府收入和支出列入预算或者虚列收入和支出的； (二）违反法律、行政法规的规定，多征、提前征收或者减征、免征、缓征应征预算收入的； (三） 截留、占用、挪用或者拖欠应当上缴国库的预算收入的； (四）违反本法规定，改变预算支出用途的； (五） 擅自改变上级政府专项转移支付资金用途的； (六）违反本法规定拨付预算支出资金，办理预算收入收纳、划分、留解、退付，或者违反本 法规定冻结、动用国库库款或者以其他方式支配已入国库库款的。</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第九十四条各级政府、各部门、各单位违反本法规定举借债务或者为他人债务提供担保，或者挪用重点支出资金，或者在预算之外及超预算标准建设楼堂馆所的，责令改正，对负有直接责 任的主管人员和其他直接责任人员给予撤职、开除的处分。</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九十五条各级政府有关部门、单位及其工作人员有下列行为之一的，责令改正，追回骗取、使用的资金，有违法所得的没收违法所得，对单位给予警告或者通报批评；对负有直接责任的主管人员和其他直接责任人员依法给予处分：</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(一） 违反法律、法规的规定，改变预算收入上缴方式的； (二）以虚报、冒领等手段骗取预算资金的； (三）违反规定扩大开支范围、提高开支标准的； (四）其他违反财政管理规定的行为。</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第九十六条本法第九十二条、第九十三条、第九十四条、第九十五条所列违法行为，其他法律对其处理、处罚另有规定的，依照其规定。</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违反本法规定，构成犯罪的，依法追宄刑事责任。</w:t>
            </w:r>
            <w:r>
              <w:rPr>
                <w:rFonts w:hint="eastAsia" w:ascii="仿宋" w:hAnsi="仿宋" w:eastAsia="仿宋" w:cs="宋体"/>
                <w:sz w:val="20"/>
                <w:szCs w:val="20"/>
                <w:lang w:val="en-US"/>
              </w:rPr>
              <w:br w:type="textWrapping"/>
            </w:r>
            <w:r>
              <w:rPr>
                <w:rFonts w:hint="eastAsia" w:ascii="仿宋" w:hAnsi="仿宋" w:eastAsia="仿宋" w:cs="宋体"/>
                <w:b/>
                <w:sz w:val="20"/>
                <w:szCs w:val="20"/>
                <w:lang w:val="en-US"/>
              </w:rPr>
              <w:t>2.《财政违法行为处罚处分条例》</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第六条国家机关及其工作人员有下列违反规定使用、骗取财政资金的行为之一的，责令改正， 调整有关会计账目，追回有关财政资金，限期退还违法所得。对单位给予警告或者通报批评。对直 接负责的主管人员和其他直接责任人员给予记大过处分；情节较重的，给予降级或者撤职处分；情节严重的，给予开除处分： (一）以虚报、冒领等手段骗取财政资金；(二）截留、挪用财政资金；(三）滞留应当下拨的财政资金； (四）违反规定扩大开支范围，提高开支标准； (五）其他违反规定使用、骗取财政资金的行为。</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第九条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 (一）截留、挪用国家建设资金； (二）以虚报、冒领、关联交易等手段骗取国家建设资金； (三）违反规定超概算投资； (四）虚列投资完成额；</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(五）其他违反国家投资建设项目有关规定的行为。《中华人民共和国政府采购法》、《中华</w:t>
            </w:r>
            <w:r>
              <w:rPr>
                <w:rFonts w:hint="eastAsia" w:ascii="仿宋" w:hAnsi="仿宋" w:eastAsia="仿宋" w:cs="宋体"/>
                <w:sz w:val="20"/>
                <w:szCs w:val="20"/>
                <w:lang w:val="en-US" w:eastAsia="zh-CN"/>
              </w:rPr>
              <w:t>人</w:t>
            </w:r>
            <w:r>
              <w:rPr>
                <w:rFonts w:hint="eastAsia" w:ascii="仿宋" w:hAnsi="仿宋" w:eastAsia="仿宋" w:cs="宋体"/>
                <w:sz w:val="20"/>
                <w:szCs w:val="20"/>
                <w:lang w:val="en-US"/>
              </w:rPr>
              <w:t>民共和国招标投标法》、《国家重点建设项目管理办法》等法律、行政法规另有规定的，依照其规定处理、处罚。</w:t>
            </w:r>
          </w:p>
          <w:p>
            <w:pPr>
              <w:widowControl/>
              <w:ind w:firstLine="400" w:firstLineChars="200"/>
              <w:rPr>
                <w:rFonts w:hint="eastAsia" w:ascii="仿宋" w:hAnsi="仿宋" w:eastAsia="仿宋" w:cs="宋体"/>
                <w:b/>
                <w:sz w:val="20"/>
                <w:szCs w:val="20"/>
                <w:lang w:val="en-US"/>
              </w:rPr>
            </w:pPr>
            <w:r>
              <w:rPr>
                <w:rFonts w:hint="eastAsia" w:ascii="仿宋" w:hAnsi="仿宋" w:eastAsia="仿宋" w:cs="宋体"/>
                <w:sz w:val="20"/>
                <w:szCs w:val="20"/>
                <w:lang w:val="en-US"/>
              </w:rPr>
              <w:t>第十四条企业和个人有下列行为之一的，责令改正，调整有关会计账目，追回违反规定使用、 骗取的有关资金，给予警告，没收违法所得，并处被骗取有关资金10%以上50%以下的罚款或者被 违规使用有关资金10%以上30%以下的罚款；对直接负责的主管人员和其他直接责任人员处3000元 以上5万元以下的罚款： (一）以虚报、冒领等手段骗取财政资金以及政府承贷或者担保的外国政府贷款、国际金融 组织贷款； (二）挪用财政资金以及政府承贷或者担保的外国政府贷款、国际金融组织贷款； (三）从无偿使用的财政资金以及政府承贷或者担保的外国政府贷款、国际金融组织贷款中非法获益； (四）其他违反规定使用、骗取财政资金以及政府承贷或者担保的外国政府贷款、国际金融 组织贷款的行为。</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 xml:space="preserve">    属于政府采购方面的违法行为，依照《中华人民共和国政府采购法》及有关法律、行政法规的规定处理、处罚。</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br w:type="textWrapping"/>
            </w:r>
            <w:r>
              <w:rPr>
                <w:rFonts w:hint="eastAsia" w:ascii="仿宋" w:hAnsi="仿宋" w:eastAsia="仿宋" w:cs="宋体"/>
                <w:b/>
                <w:sz w:val="20"/>
                <w:szCs w:val="20"/>
                <w:lang w:val="en-US"/>
              </w:rPr>
              <w:t>二、依法限制财政补助补贴性资金和社会保障资金支持</w:t>
            </w:r>
            <w:r>
              <w:rPr>
                <w:rFonts w:hint="eastAsia" w:ascii="仿宋" w:hAnsi="仿宋" w:eastAsia="仿宋" w:cs="宋体"/>
                <w:sz w:val="20"/>
                <w:szCs w:val="20"/>
                <w:lang w:val="en-US"/>
              </w:rPr>
              <w:br w:type="textWrapping"/>
            </w:r>
            <w:r>
              <w:rPr>
                <w:rFonts w:hint="eastAsia" w:ascii="仿宋" w:hAnsi="仿宋" w:eastAsia="仿宋" w:cs="宋体"/>
                <w:b/>
                <w:sz w:val="20"/>
                <w:szCs w:val="20"/>
                <w:lang w:val="en-US"/>
              </w:rPr>
              <w:t>1.《社会信用体系建设规划纲要（2014-2020年)》第二部分第（一）条</w:t>
            </w:r>
          </w:p>
          <w:p>
            <w:pPr>
              <w:widowControl/>
              <w:ind w:firstLine="400" w:firstLineChars="200"/>
              <w:rPr>
                <w:rFonts w:hint="eastAsia" w:ascii="仿宋" w:hAnsi="仿宋" w:eastAsia="仿宋" w:cs="宋体"/>
                <w:sz w:val="20"/>
                <w:szCs w:val="20"/>
                <w:lang w:val="en-US"/>
              </w:rPr>
            </w:pPr>
            <w:r>
              <w:rPr>
                <w:rFonts w:hint="eastAsia" w:ascii="仿宋" w:hAnsi="仿宋" w:eastAsia="仿宋" w:cs="宋体"/>
                <w:sz w:val="20"/>
                <w:szCs w:val="20"/>
                <w:lang w:val="en-US"/>
              </w:rPr>
              <w:t>发挥政府诚信建设示范作用。各级人民政府首先要加强自身诚信建设，以政府的诚信施政，带动全社会诚信意识的树立和诚信水平的提高。在行政许可、政府采购、招标投标、劳动就业、社会 保障、科研管理、干部选拔任用和管理监督、申请政府资金支持等领域，率先使用信用信息和信用产品，培育信用服务市场发展。</w:t>
            </w:r>
          </w:p>
          <w:p>
            <w:pPr>
              <w:widowControl/>
              <w:ind w:firstLine="0" w:firstLineChars="0"/>
              <w:rPr>
                <w:rFonts w:hint="eastAsia" w:ascii="仿宋" w:hAnsi="仿宋" w:eastAsia="仿宋" w:cs="宋体"/>
                <w:b/>
                <w:sz w:val="20"/>
                <w:szCs w:val="20"/>
                <w:lang w:val="en-US"/>
              </w:rPr>
            </w:pPr>
            <w:r>
              <w:rPr>
                <w:rFonts w:hint="eastAsia" w:ascii="仿宋" w:hAnsi="仿宋" w:eastAsia="仿宋" w:cs="宋体"/>
                <w:b/>
                <w:sz w:val="20"/>
                <w:szCs w:val="20"/>
                <w:lang w:val="en-US"/>
              </w:rPr>
              <w:t>2.《福建省省级专项资金管理办法》（福建省人民政府令 第131号）</w:t>
            </w:r>
          </w:p>
          <w:p>
            <w:pPr>
              <w:pStyle w:val="4"/>
              <w:shd w:val="clear" w:color="auto" w:fill="auto"/>
              <w:spacing w:before="0" w:line="240" w:lineRule="auto"/>
              <w:jc w:val="both"/>
              <w:rPr>
                <w:rFonts w:hint="eastAsia" w:ascii="仿宋" w:hAnsi="仿宋" w:eastAsia="仿宋" w:cs="宋体"/>
                <w:sz w:val="20"/>
                <w:szCs w:val="20"/>
                <w:lang w:val="en-US" w:bidi="ar-SA"/>
              </w:rPr>
            </w:pPr>
            <w:r>
              <w:rPr>
                <w:rFonts w:ascii="仿宋" w:hAnsi="仿宋" w:eastAsia="仿宋" w:cs="宋体"/>
                <w:sz w:val="20"/>
                <w:szCs w:val="20"/>
                <w:lang w:val="en-US" w:bidi="ar-SA"/>
              </w:rPr>
              <w:t>第三十一条违反本办法第十四条规定，未经批准调整专项资金使用范围或者金额的，由省人民政府财政部门责令改正，追回有关财政资金，依法没收违法所得</w:t>
            </w:r>
            <w:r>
              <w:rPr>
                <w:rFonts w:hint="eastAsia" w:ascii="仿宋" w:hAnsi="仿宋" w:eastAsia="仿宋" w:cs="宋体"/>
                <w:sz w:val="20"/>
                <w:szCs w:val="20"/>
                <w:lang w:val="en-US" w:bidi="ar-SA"/>
              </w:rPr>
              <w:t>.</w:t>
            </w:r>
          </w:p>
          <w:p>
            <w:pPr>
              <w:pStyle w:val="5"/>
              <w:shd w:val="clear" w:color="auto" w:fill="auto"/>
              <w:spacing w:before="0" w:line="240" w:lineRule="auto"/>
              <w:jc w:val="both"/>
              <w:rPr>
                <w:rFonts w:ascii="仿宋" w:hAnsi="仿宋" w:eastAsia="仿宋" w:cs="宋体"/>
                <w:color w:val="000000"/>
                <w:spacing w:val="0"/>
                <w:sz w:val="20"/>
                <w:szCs w:val="20"/>
                <w:lang w:val="en-US" w:eastAsia="zh-CN"/>
              </w:rPr>
            </w:pPr>
            <w:r>
              <w:rPr>
                <w:rFonts w:ascii="仿宋" w:hAnsi="仿宋" w:eastAsia="仿宋" w:cs="宋体"/>
                <w:color w:val="000000"/>
                <w:spacing w:val="0"/>
                <w:sz w:val="20"/>
                <w:szCs w:val="20"/>
                <w:lang w:val="en-US" w:eastAsia="zh-CN"/>
              </w:rPr>
              <w:t>第三十二条违反本办法第二十条规定，以虚报、伪造等手段骗取专项资金的，由省人民政府财政部门责令改正，追回有关财政资金，依法没收违法所得，并在3年内禁止申报省级财政专项资金。</w:t>
            </w:r>
          </w:p>
          <w:p>
            <w:pPr>
              <w:pStyle w:val="5"/>
              <w:shd w:val="clear" w:color="auto" w:fill="auto"/>
              <w:tabs>
                <w:tab w:val="left" w:pos="5083"/>
              </w:tabs>
              <w:spacing w:before="0" w:line="240" w:lineRule="auto"/>
              <w:jc w:val="both"/>
              <w:rPr>
                <w:rFonts w:ascii="仿宋" w:hAnsi="仿宋" w:eastAsia="仿宋" w:cs="宋体"/>
                <w:color w:val="000000"/>
                <w:spacing w:val="0"/>
                <w:sz w:val="20"/>
                <w:szCs w:val="20"/>
                <w:lang w:val="en-US" w:eastAsia="zh-CN"/>
              </w:rPr>
            </w:pPr>
            <w:r>
              <w:rPr>
                <w:rFonts w:ascii="仿宋" w:hAnsi="仿宋" w:eastAsia="仿宋" w:cs="宋体"/>
                <w:color w:val="000000"/>
                <w:spacing w:val="0"/>
                <w:sz w:val="20"/>
                <w:szCs w:val="20"/>
                <w:lang w:val="en-US" w:eastAsia="zh-CN"/>
              </w:rPr>
              <w:t>第三十三条违反本办法第二十一条规定，对未能独立客观地发表意见，在专项资金申报、评审等有关工作中存在虚假、伪 造行为的专家或者市场中介组织，按照有关法律、法规、规章的 规定进行处理，并在3年内禁止参与专项资金申报、评审、绩效 评价等有关工作。</w:t>
            </w:r>
            <w:r>
              <w:rPr>
                <w:rFonts w:ascii="仿宋" w:hAnsi="仿宋" w:eastAsia="仿宋" w:cs="宋体"/>
                <w:color w:val="000000"/>
                <w:spacing w:val="0"/>
                <w:sz w:val="20"/>
                <w:szCs w:val="20"/>
                <w:lang w:val="en-US" w:eastAsia="zh-CN"/>
              </w:rPr>
              <w:tab/>
            </w:r>
            <w:r>
              <w:rPr>
                <w:rFonts w:ascii="仿宋" w:hAnsi="仿宋" w:eastAsia="仿宋" w:cs="宋体"/>
                <w:color w:val="000000"/>
                <w:spacing w:val="0"/>
                <w:sz w:val="20"/>
                <w:szCs w:val="20"/>
                <w:lang w:val="en-US" w:eastAsia="zh-CN"/>
              </w:rPr>
              <w:t>^</w:t>
            </w:r>
          </w:p>
          <w:p>
            <w:pPr>
              <w:pStyle w:val="5"/>
              <w:shd w:val="clear" w:color="auto" w:fill="auto"/>
              <w:spacing w:before="0" w:line="240" w:lineRule="auto"/>
              <w:jc w:val="both"/>
              <w:rPr>
                <w:rFonts w:ascii="仿宋" w:hAnsi="仿宋" w:eastAsia="仿宋" w:cs="宋体"/>
                <w:color w:val="000000"/>
                <w:spacing w:val="0"/>
                <w:sz w:val="20"/>
                <w:szCs w:val="20"/>
                <w:lang w:val="en-US" w:eastAsia="zh-CN"/>
              </w:rPr>
            </w:pPr>
            <w:r>
              <w:rPr>
                <w:rFonts w:ascii="仿宋" w:hAnsi="仿宋" w:eastAsia="仿宋" w:cs="宋体"/>
                <w:color w:val="000000"/>
                <w:spacing w:val="0"/>
                <w:sz w:val="20"/>
                <w:szCs w:val="20"/>
                <w:lang w:val="en-US" w:eastAsia="zh-CN"/>
              </w:rPr>
              <w:t>第三十四条违反本办法第二十二条规定，截留、挪用专项资金或无故拖延专项资金拨付的，由省人民政府财政部门责令改正，对单位给予警告或者通报批评。</w:t>
            </w:r>
          </w:p>
          <w:p>
            <w:pPr>
              <w:pStyle w:val="5"/>
              <w:shd w:val="clear" w:color="auto" w:fill="auto"/>
              <w:spacing w:before="0" w:line="240" w:lineRule="auto"/>
              <w:jc w:val="both"/>
              <w:rPr>
                <w:rFonts w:ascii="仿宋" w:hAnsi="仿宋" w:eastAsia="仿宋" w:cs="宋体"/>
                <w:color w:val="000000"/>
                <w:spacing w:val="0"/>
                <w:sz w:val="20"/>
                <w:szCs w:val="20"/>
                <w:lang w:val="en-US" w:eastAsia="zh-CN"/>
              </w:rPr>
            </w:pPr>
            <w:r>
              <w:rPr>
                <w:rFonts w:ascii="仿宋" w:hAnsi="仿宋" w:eastAsia="仿宋" w:cs="宋体"/>
                <w:color w:val="000000"/>
                <w:spacing w:val="0"/>
                <w:sz w:val="20"/>
                <w:szCs w:val="20"/>
                <w:lang w:val="en-US" w:eastAsia="zh-CN"/>
              </w:rPr>
              <w:t>第三十五条违反本办法第二十三条规定，未执行专项资金项目支出预算或未经批准变更项目内容或者调整预算的，由省人民政府财政部门责令改正，追回有关财政资金。</w:t>
            </w:r>
          </w:p>
          <w:p>
            <w:pPr>
              <w:pStyle w:val="5"/>
              <w:shd w:val="clear" w:color="auto" w:fill="auto"/>
              <w:spacing w:before="0" w:line="240" w:lineRule="auto"/>
              <w:jc w:val="left"/>
              <w:rPr>
                <w:rFonts w:ascii="仿宋" w:hAnsi="仿宋" w:eastAsia="仿宋" w:cs="宋体"/>
                <w:color w:val="000000"/>
                <w:spacing w:val="0"/>
                <w:sz w:val="20"/>
                <w:szCs w:val="20"/>
                <w:lang w:val="en-US" w:eastAsia="zh-CN"/>
              </w:rPr>
            </w:pPr>
            <w:r>
              <w:rPr>
                <w:rFonts w:ascii="仿宋" w:hAnsi="仿宋" w:eastAsia="仿宋" w:cs="宋体"/>
                <w:color w:val="000000"/>
                <w:spacing w:val="0"/>
                <w:sz w:val="20"/>
                <w:szCs w:val="20"/>
                <w:lang w:val="en-US" w:eastAsia="zh-CN"/>
              </w:rPr>
              <w:t>第三十六条违反本办法第二十四条规定，拖延项目实施进度的，由省人民政府有关部门依照职责责令改正；拒不改正的，限期退逐相应款项，并在3年内禁止申报省级财政专项资金。</w:t>
            </w:r>
          </w:p>
          <w:p>
            <w:pPr>
              <w:pStyle w:val="5"/>
              <w:shd w:val="clear" w:color="auto" w:fill="auto"/>
              <w:spacing w:before="0" w:line="240" w:lineRule="auto"/>
              <w:jc w:val="left"/>
              <w:rPr>
                <w:rFonts w:ascii="仿宋" w:hAnsi="仿宋" w:eastAsia="仿宋" w:cs="宋体"/>
                <w:color w:val="000000"/>
                <w:spacing w:val="0"/>
                <w:sz w:val="20"/>
                <w:szCs w:val="20"/>
                <w:lang w:val="en-US" w:eastAsia="zh-CN"/>
              </w:rPr>
            </w:pPr>
            <w:r>
              <w:rPr>
                <w:rFonts w:ascii="仿宋" w:hAnsi="仿宋" w:eastAsia="仿宋" w:cs="宋体"/>
                <w:color w:val="000000"/>
                <w:spacing w:val="0"/>
                <w:sz w:val="20"/>
                <w:szCs w:val="20"/>
                <w:lang w:val="en-US" w:eastAsia="zh-CN"/>
              </w:rPr>
              <w:t>第三十七条国家机关工作人员在专项资金管理活动中滥用职权、玩忽职守、徇私舞弊的，依法追究行政责任；构成犯罪的，依法追究刑事责任。</w:t>
            </w:r>
          </w:p>
          <w:p>
            <w:pPr>
              <w:pStyle w:val="5"/>
              <w:widowControl/>
              <w:shd w:val="clear" w:color="auto" w:fill="auto"/>
              <w:spacing w:before="0" w:line="240" w:lineRule="auto"/>
              <w:ind w:firstLine="400" w:firstLineChars="200"/>
              <w:jc w:val="both"/>
              <w:rPr>
                <w:rFonts w:hint="eastAsia" w:ascii="仿宋" w:hAnsi="仿宋" w:eastAsia="仿宋" w:cs="宋体"/>
                <w:color w:val="000000"/>
                <w:spacing w:val="0"/>
                <w:sz w:val="20"/>
                <w:szCs w:val="20"/>
                <w:lang w:val="en-US" w:eastAsia="zh-CN"/>
              </w:rPr>
            </w:pPr>
            <w:r>
              <w:rPr>
                <w:rFonts w:ascii="仿宋" w:hAnsi="仿宋" w:eastAsia="仿宋" w:cs="宋体"/>
                <w:color w:val="000000"/>
                <w:spacing w:val="0"/>
                <w:sz w:val="20"/>
                <w:szCs w:val="20"/>
                <w:lang w:val="en-US" w:eastAsia="zh-CN"/>
              </w:rPr>
              <w:t>第三十八条违反本办法规定的行为，法律、法有处理处罚规定的，从其规定。构成犯罪的，依法追究刑事责任。十一条违反本办法第十四条规定，未经批准调整专项资金使用范围或者金额的，由省人民政府财政部门责令改正</w:t>
            </w:r>
            <w:r>
              <w:rPr>
                <w:rFonts w:hint="eastAsia" w:ascii="仿宋" w:hAnsi="仿宋" w:eastAsia="仿宋" w:cs="宋体"/>
                <w:color w:val="000000"/>
                <w:spacing w:val="0"/>
                <w:sz w:val="20"/>
                <w:szCs w:val="20"/>
                <w:lang w:val="en-US" w:eastAsia="zh-CN"/>
              </w:rPr>
              <w:t>。</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b/>
                <w:color w:val="000000"/>
                <w:spacing w:val="0"/>
                <w:sz w:val="20"/>
                <w:szCs w:val="20"/>
                <w:lang w:val="en-US" w:eastAsia="zh-CN"/>
              </w:rPr>
              <w:t>三、依法限制参加政府采购活动</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b/>
                <w:color w:val="000000"/>
                <w:spacing w:val="0"/>
                <w:sz w:val="20"/>
                <w:szCs w:val="20"/>
                <w:lang w:val="en-US" w:eastAsia="zh-CN"/>
              </w:rPr>
              <w:t>1.《中华人民共和国政府采购法》</w:t>
            </w:r>
            <w:r>
              <w:rPr>
                <w:rFonts w:hint="eastAsia" w:ascii="仿宋" w:hAnsi="仿宋" w:eastAsia="仿宋" w:cs="宋体"/>
                <w:b w:val="0"/>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 xml:space="preserve">    第二十二条供应商参加政府采购活动应当具备下列条件：</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具有独立承担民事责任的能力；</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具有良好的商业信誉和健全的财务会计制度；</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具有履行合同所必需的设备和专业技术能力；</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有依法缴纳税收和社会保障资金的良好记录；</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参加政府采购活动前三年内，在经营活动中没有重大违法记录；</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法律、行政法规规定的其他条件。</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 xml:space="preserve">    第六十二条集中采购机构的采购人员应当具有相关职业素质和专业技能，符合政府采购监督管理部门规定的专业岗位任职要求。</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集中采购机构对其工作人员应当加强教育和培训；对采购人员的专业水平、工作实绩和职业道德状况定期进行考核。采购人员经考核不合格的，不得继续任职。</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 xml:space="preserve">    第七十二条采购人、采购代理机构及其工作人员有下列情形之一，构成犯罪的，依法追宄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 xml:space="preserve">    第七十三条有前两条违法行为之一影响中标、成交结果或者可能影响中标、成交结果的， 按下列情况分别处理：(一）未确定中标、成交供应商的，终止采购活动； (二）中标、成交供应商已经确定但采购合同尚未履行的，撤销合同，从合格的中标、成交候 选人中另行确定中标、成交供应商； (三） 采购合同已经履行的，给采购人、供应商造成损失的，由责任人承担赔偿责任。</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b w:val="0"/>
                <w:color w:val="000000"/>
                <w:spacing w:val="0"/>
                <w:sz w:val="20"/>
                <w:szCs w:val="20"/>
                <w:lang w:val="en-US" w:eastAsia="zh-CN"/>
              </w:rPr>
              <w:t>2</w:t>
            </w:r>
            <w:r>
              <w:rPr>
                <w:rFonts w:hint="eastAsia" w:ascii="仿宋" w:hAnsi="仿宋" w:eastAsia="仿宋" w:cs="宋体"/>
                <w:b/>
                <w:color w:val="000000"/>
                <w:spacing w:val="0"/>
                <w:sz w:val="20"/>
                <w:szCs w:val="20"/>
                <w:lang w:val="en-US" w:eastAsia="zh-CN"/>
              </w:rPr>
              <w:t>.《社会信用体系建设规划纲要（2014-2020年)》第二部分第（一）（二）条</w:t>
            </w:r>
            <w:r>
              <w:rPr>
                <w:rFonts w:hint="eastAsia" w:ascii="仿宋" w:hAnsi="仿宋" w:eastAsia="仿宋" w:cs="宋体"/>
                <w:b w:val="0"/>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(一） 加快推进政务诚信建设</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 xml:space="preserve">    发挥政府诚信建设示范作用。各级人民政府首先要加强自身诚信建设，以政府的诚信施政，带动全社会诚信意识的树立和诚信水平的提高。在行政许可、政府采购、招标投标、劳动就业、社会 保障、科研管理、干部选拔任用和管理监督、申请政府资金支持等领域，率先使用信用信息和信用 产品，培育信用服务市场发展。</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(二） 深入推进商务诚信建设</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 xml:space="preserve">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 采购活动。完善政府采购市场的准入和退出机制，充分利用工商、税务、金融、检察等其他部门提 供的信用信息，加强对政府采购当事人和相关人员的信用管理。加快建设全国统一的政府采购管理 交易系统，提高政府采购活动透明度，实现信用信息的统一发布和共享。</w:t>
            </w:r>
            <w:r>
              <w:rPr>
                <w:rFonts w:hint="eastAsia" w:ascii="仿宋" w:hAnsi="仿宋" w:eastAsia="仿宋" w:cs="宋体"/>
                <w:color w:val="000000"/>
                <w:spacing w:val="0"/>
                <w:sz w:val="20"/>
                <w:szCs w:val="20"/>
                <w:lang w:val="en-US" w:eastAsia="zh-CN"/>
              </w:rPr>
              <w:br w:type="textWrapping"/>
            </w:r>
            <w:r>
              <w:rPr>
                <w:rFonts w:hint="eastAsia" w:ascii="仿宋" w:hAnsi="仿宋" w:eastAsia="仿宋" w:cs="宋体"/>
                <w:color w:val="000000"/>
                <w:spacing w:val="0"/>
                <w:sz w:val="20"/>
                <w:szCs w:val="20"/>
                <w:lang w:val="en-US" w:eastAsia="zh-CN"/>
              </w:rPr>
              <w:t xml:space="preserve">    招标投标领域信用建设。扩大招标投标信用信息公开和共享范围，建立涵盖招标投标情况的信 用评价指标和评价标准体系，健全招标投标信用信息公开和共享制度。进一步贯彻落实招标投标违法行为记录公告制度，推动完善奖惩联动机制。依托电子招标投标系统及其公共服务平台，实现招 标投标和合同履行等信用信息的互联互通、实时交换和整合共享。鼓励市场主体运用基本信用信息 和第三方信用评价结果，并将其作为投标人资格审查、评标、定标和合同签订的重要依据。</w:t>
            </w:r>
          </w:p>
          <w:p>
            <w:pPr>
              <w:widowControl/>
              <w:ind w:firstLine="402" w:firstLineChars="200"/>
              <w:rPr>
                <w:rFonts w:hint="eastAsia" w:ascii="仿宋" w:hAnsi="仿宋" w:eastAsia="仿宋" w:cs="宋体"/>
                <w:sz w:val="20"/>
                <w:szCs w:val="20"/>
                <w:lang w:val="en-US"/>
              </w:rPr>
            </w:pPr>
            <w:r>
              <w:rPr>
                <w:rFonts w:hint="eastAsia" w:ascii="仿宋" w:hAnsi="仿宋" w:eastAsia="仿宋" w:cs="宋体"/>
                <w:b/>
                <w:sz w:val="20"/>
                <w:szCs w:val="20"/>
                <w:lang w:val="en-US"/>
              </w:rPr>
              <w:t>3.《关于在政府采购活动中查询及使用信用记录有关问题的通知》第二部分</w:t>
            </w:r>
            <w:r>
              <w:rPr>
                <w:rFonts w:hint="eastAsia" w:ascii="仿宋" w:hAnsi="仿宋" w:eastAsia="仿宋" w:cs="宋体"/>
                <w:b/>
                <w:sz w:val="20"/>
                <w:szCs w:val="20"/>
                <w:lang w:val="en-US"/>
              </w:rPr>
              <w:br w:type="textWrapping"/>
            </w:r>
            <w:r>
              <w:rPr>
                <w:rFonts w:hint="eastAsia" w:ascii="仿宋" w:hAnsi="仿宋" w:eastAsia="仿宋" w:cs="宋体"/>
                <w:sz w:val="20"/>
                <w:szCs w:val="20"/>
                <w:lang w:val="en-US"/>
              </w:rPr>
              <w:t>二、认真做好信用记录查询及使用工作</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(一） 总体要求。</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各地区各部门应当按照社会信用体系建设有关要求，根据社会信用体系建设情况，创造条件将相关主体的信用记录作为供应商资格审查、采购代理机构委托、评审专家管理的重要依据。</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(二） 信用记录查询渠道。</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各级财政部门、采购人、采购代理机构应当通过“信用中国”网站（www.creditchina.gov.cn)、 中国政府采购网（www.ccgp.gov.cn)等渠道查询相关主体信用记录，并采取必要方式做好信用信 息查询记录和证据留存，信用信息查询记录及相关证据应当与其他采购文件一并保存。</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(三） 信用记录的使用。</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1.采购人或者采购代理机构应当在采购文件中明确信用信息查询的查询渠道及截止时点、信用信息查询记录和证据留存的具体方式、信用信息的使用规则等内容。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2.各级财政部门应当在评审专家选聘及日常管理中查询有关信用记录，对具有行贿、受贿、欺诈等不良信用记录的人员不得聘用为评审专家，已聘用的应当及时解聘。</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3.依法自行选定评审专家的，采购人或者采购代理机构应当查询有关信用记录，不得选定具有行贿、受贿、欺诈等不良信用记录的人员。</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采购人委托采购代理机构办理政府采购事宜的，应当查询其信用记录，优先选择无不良信用记录的采购代理机构。</w:t>
            </w:r>
            <w:r>
              <w:rPr>
                <w:rFonts w:hint="eastAsia" w:ascii="仿宋" w:hAnsi="仿宋" w:eastAsia="仿宋" w:cs="宋体"/>
                <w:sz w:val="20"/>
                <w:szCs w:val="20"/>
                <w:lang w:val="en-US"/>
              </w:rPr>
              <w:br w:type="textWrapping"/>
            </w:r>
            <w:r>
              <w:rPr>
                <w:rFonts w:hint="eastAsia" w:ascii="仿宋" w:hAnsi="仿宋" w:eastAsia="仿宋" w:cs="宋体"/>
                <w:sz w:val="20"/>
                <w:szCs w:val="20"/>
                <w:lang w:val="en-US"/>
              </w:rPr>
              <w:t>4.采购人及采购代理机构应当妥善保管相关主体信用信息，不得用于政府采购以外事项。</w:t>
            </w:r>
          </w:p>
          <w:p>
            <w:pPr>
              <w:widowControl/>
              <w:ind w:firstLine="400" w:firstLineChars="200"/>
              <w:rPr>
                <w:rFonts w:hint="eastAsia" w:ascii="仿宋" w:hAnsi="仿宋" w:eastAsia="仿宋" w:cs="宋体"/>
                <w:sz w:val="20"/>
                <w:szCs w:val="20"/>
                <w:lang w:val="en-US"/>
              </w:rPr>
            </w:pPr>
          </w:p>
          <w:p>
            <w:pPr>
              <w:pStyle w:val="5"/>
              <w:widowControl/>
              <w:shd w:val="clear" w:color="auto" w:fill="auto"/>
              <w:spacing w:before="0" w:line="240" w:lineRule="auto"/>
              <w:ind w:firstLine="480" w:firstLineChars="200"/>
              <w:jc w:val="left"/>
              <w:rPr>
                <w:rFonts w:ascii="仿宋" w:hAnsi="仿宋" w:eastAsia="仿宋" w:cs="宋体"/>
                <w:sz w:val="20"/>
                <w:szCs w:val="20"/>
                <w:lang w:val="en-US"/>
              </w:rPr>
            </w:pPr>
          </w:p>
        </w:tc>
      </w:tr>
      <w:tr>
        <w:tblPrEx>
          <w:tblLayout w:type="fixed"/>
          <w:tblCellMar>
            <w:top w:w="0" w:type="dxa"/>
            <w:left w:w="108" w:type="dxa"/>
            <w:bottom w:w="0" w:type="dxa"/>
            <w:right w:w="108" w:type="dxa"/>
          </w:tblCellMar>
        </w:tblPrEx>
        <w:trPr>
          <w:trHeight w:val="8229"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sz w:val="20"/>
                <w:szCs w:val="20"/>
                <w:lang w:val="en-US"/>
              </w:rPr>
            </w:pPr>
          </w:p>
        </w:tc>
        <w:tc>
          <w:tcPr>
            <w:tcW w:w="2240" w:type="dxa"/>
            <w:tcBorders>
              <w:top w:val="single" w:color="auto" w:sz="4" w:space="0"/>
              <w:left w:val="nil"/>
              <w:bottom w:val="single" w:color="auto" w:sz="4" w:space="0"/>
              <w:right w:val="single" w:color="auto" w:sz="4" w:space="0"/>
            </w:tcBorders>
            <w:vAlign w:val="center"/>
          </w:tcPr>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4、伪造、篡改相关合同文本、资金到账证明、会计凭证与发票（复印件）、单位资质文件以及虚报企业规模、技术工艺指标等，使之达到项目申报条件的；</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5、伪造、篡改申报资料中所要求的由社会中介机构出具的审计报告、信用报告、资产评估报告等正式文书或结论性资料的；</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6、因主观原因导致项目建设期严重滞后、无法实施或擅自变更项目建设内容，影响资金使用效益的；</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rPr>
                <w:rFonts w:hint="eastAsia" w:ascii="仿宋" w:hAnsi="仿宋" w:eastAsia="仿宋" w:cs="宋体"/>
                <w:sz w:val="20"/>
                <w:szCs w:val="20"/>
                <w:lang w:val="en-US"/>
              </w:rPr>
            </w:pPr>
            <w:r>
              <w:rPr>
                <w:rFonts w:hint="eastAsia" w:ascii="仿宋" w:hAnsi="仿宋" w:eastAsia="仿宋" w:cs="宋体"/>
                <w:sz w:val="20"/>
                <w:szCs w:val="20"/>
                <w:lang w:val="en-US"/>
              </w:rPr>
              <w:t>7、截留、挤占、挪用财政专项资金的；</w:t>
            </w:r>
          </w:p>
          <w:p>
            <w:pPr>
              <w:rPr>
                <w:rFonts w:hint="eastAsia" w:ascii="仿宋" w:hAnsi="仿宋" w:eastAsia="仿宋" w:cs="宋体"/>
                <w:sz w:val="20"/>
                <w:szCs w:val="20"/>
                <w:lang w:val="en-US"/>
              </w:rPr>
            </w:pPr>
          </w:p>
          <w:p>
            <w:pPr>
              <w:rPr>
                <w:rFonts w:hint="eastAsia" w:ascii="仿宋" w:hAnsi="仿宋" w:eastAsia="仿宋" w:cs="宋体"/>
                <w:sz w:val="20"/>
                <w:szCs w:val="20"/>
                <w:lang w:val="en-US"/>
              </w:rPr>
            </w:pPr>
          </w:p>
          <w:p>
            <w:pPr>
              <w:ind w:firstLine="300" w:firstLineChars="150"/>
              <w:rPr>
                <w:rFonts w:hint="eastAsia" w:ascii="仿宋" w:hAnsi="仿宋" w:eastAsia="仿宋" w:cs="宋体"/>
                <w:sz w:val="20"/>
                <w:szCs w:val="20"/>
                <w:lang w:val="en-US"/>
              </w:rPr>
            </w:pPr>
            <w:r>
              <w:rPr>
                <w:rFonts w:hint="eastAsia" w:ascii="仿宋" w:hAnsi="仿宋" w:eastAsia="仿宋" w:cs="宋体"/>
                <w:sz w:val="20"/>
                <w:szCs w:val="20"/>
                <w:lang w:val="en-US"/>
              </w:rPr>
              <w:t>8、社会中介机构对项目单位会计报表等资料出具虛假鉴证报告的；</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r>
              <w:rPr>
                <w:rFonts w:hint="eastAsia" w:ascii="仿宋" w:hAnsi="仿宋" w:eastAsia="仿宋" w:cs="宋体"/>
                <w:sz w:val="20"/>
                <w:szCs w:val="20"/>
                <w:lang w:val="en-US"/>
              </w:rPr>
              <w:t>9、其他骗取、套取财政专项资金等失信行为；</w:t>
            </w: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hint="eastAsia" w:ascii="仿宋" w:hAnsi="仿宋" w:eastAsia="仿宋" w:cs="宋体"/>
                <w:sz w:val="20"/>
                <w:szCs w:val="20"/>
                <w:lang w:val="en-US"/>
              </w:rPr>
            </w:pPr>
          </w:p>
          <w:p>
            <w:pPr>
              <w:ind w:firstLine="336" w:firstLineChars="168"/>
              <w:rPr>
                <w:rFonts w:ascii="仿宋" w:hAnsi="仿宋" w:eastAsia="仿宋" w:cs="宋体"/>
                <w:sz w:val="20"/>
                <w:szCs w:val="20"/>
                <w:lang w:val="en-US"/>
              </w:rPr>
            </w:pPr>
            <w:r>
              <w:rPr>
                <w:rFonts w:hint="eastAsia" w:ascii="仿宋" w:hAnsi="仿宋" w:eastAsia="仿宋" w:cs="宋体"/>
                <w:sz w:val="20"/>
                <w:szCs w:val="20"/>
                <w:lang w:val="en-US"/>
              </w:rPr>
              <w:t>10、国家、省、市相关法律、规章规定的其他失信行为。</w:t>
            </w:r>
          </w:p>
          <w:p>
            <w:pPr>
              <w:ind w:firstLine="336" w:firstLineChars="168"/>
              <w:rPr>
                <w:rFonts w:hint="eastAsia" w:ascii="仿宋" w:hAnsi="仿宋" w:eastAsia="仿宋" w:cs="宋体"/>
                <w:sz w:val="20"/>
                <w:szCs w:val="20"/>
                <w:lang w:val="en-US"/>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ind w:firstLine="336" w:firstLineChars="168"/>
              <w:rPr>
                <w:rFonts w:hint="eastAsia" w:ascii="仿宋" w:hAnsi="仿宋" w:eastAsia="仿宋" w:cs="宋体"/>
                <w:sz w:val="20"/>
                <w:szCs w:val="20"/>
                <w:lang w:val="en-US"/>
              </w:rPr>
            </w:pPr>
          </w:p>
        </w:tc>
        <w:tc>
          <w:tcPr>
            <w:tcW w:w="90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宋体"/>
                <w:b/>
                <w:sz w:val="20"/>
                <w:szCs w:val="20"/>
                <w:lang w:val="en-US"/>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95D92"/>
    <w:rsid w:val="06895D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zh-CN"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文本 (4)"/>
    <w:basedOn w:val="1"/>
    <w:uiPriority w:val="0"/>
    <w:pPr>
      <w:shd w:val="clear" w:color="auto" w:fill="FFFFFF"/>
      <w:spacing w:before="780" w:line="547" w:lineRule="exact"/>
      <w:jc w:val="distribute"/>
    </w:pPr>
    <w:rPr>
      <w:rFonts w:ascii="MingLiU" w:hAnsi="MingLiU" w:eastAsia="MingLiU" w:cs="MingLiU"/>
      <w:sz w:val="28"/>
      <w:szCs w:val="28"/>
      <w:lang w:bidi="zh-CN"/>
    </w:rPr>
  </w:style>
  <w:style w:type="paragraph" w:customStyle="1" w:styleId="5">
    <w:name w:val="正文文本 (2)"/>
    <w:basedOn w:val="1"/>
    <w:uiPriority w:val="0"/>
    <w:pPr>
      <w:shd w:val="clear" w:color="auto" w:fill="FFFFFF"/>
      <w:spacing w:before="360" w:line="624" w:lineRule="exact"/>
      <w:jc w:val="distribute"/>
    </w:pPr>
    <w:rPr>
      <w:rFonts w:ascii="MingLiU" w:hAnsi="Times New Roman" w:eastAsia="MingLiU" w:cs="Times New Roman"/>
      <w:color w:val="auto"/>
      <w:spacing w:val="2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2024-07-19T07:37:00Z</dcterms:created>
  <dc:creator>user</dc:creator>
  <cp:lastModifiedBy>user</cp:lastModifiedBy>
  <dcterms:modified xsi:type="dcterms:W3CDTF">2024-07-19T07:38:46Z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