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sz w:val="32"/>
          <w:szCs w:val="32"/>
        </w:rPr>
      </w:pPr>
    </w:p>
    <w:p>
      <w:pPr>
        <w:widowControl/>
        <w:jc w:val="center"/>
        <w:rPr>
          <w:sz w:val="84"/>
          <w:szCs w:val="84"/>
        </w:rPr>
      </w:pPr>
    </w:p>
    <w:p>
      <w:pPr>
        <w:widowControl/>
        <w:jc w:val="center"/>
        <w:rPr>
          <w:sz w:val="84"/>
          <w:szCs w:val="84"/>
        </w:rPr>
      </w:pPr>
      <w:r>
        <w:rPr>
          <w:rFonts w:hint="eastAsia" w:ascii="方正小标宋简体" w:eastAsia="方正小标宋简体"/>
          <w:sz w:val="84"/>
          <w:szCs w:val="84"/>
        </w:rPr>
        <w:t>2020年度</w:t>
      </w:r>
    </w:p>
    <w:p>
      <w:pPr>
        <w:widowControl/>
        <w:jc w:val="center"/>
        <w:rPr>
          <w:rFonts w:ascii="方正小标宋简体" w:eastAsia="方正小标宋简体" w:cs="方正小标宋简体"/>
          <w:sz w:val="84"/>
          <w:szCs w:val="84"/>
        </w:rPr>
      </w:pPr>
      <w:r>
        <w:rPr>
          <w:rFonts w:hint="eastAsia" w:ascii="方正小标宋简体" w:eastAsia="方正小标宋简体" w:cs="方正小标宋简体"/>
          <w:sz w:val="84"/>
          <w:szCs w:val="84"/>
        </w:rPr>
        <w:t>福州市鼓楼区委编办</w:t>
      </w:r>
    </w:p>
    <w:p>
      <w:pPr>
        <w:widowControl/>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rPr>
        <w:t>部门预算</w:t>
      </w:r>
    </w:p>
    <w:p>
      <w:pPr>
        <w:widowControl/>
        <w:rPr>
          <w:sz w:val="84"/>
          <w:szCs w:val="84"/>
        </w:rPr>
      </w:pPr>
      <w:r>
        <w:rPr>
          <w:sz w:val="84"/>
          <w:szCs w:val="84"/>
        </w:rPr>
        <w:br w:type="page"/>
      </w:r>
    </w:p>
    <w:p>
      <w:pPr>
        <w:pStyle w:val="2"/>
        <w:jc w:val="center"/>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目  录</w:t>
      </w:r>
    </w:p>
    <w:p>
      <w:pPr>
        <w:pStyle w:val="2"/>
        <w:rPr>
          <w:rFonts w:asciiTheme="majorEastAsia" w:hAnsiTheme="majorEastAsia" w:eastAsiaTheme="majorEastAsia"/>
          <w:sz w:val="36"/>
          <w:lang w:eastAsia="zh-CN"/>
        </w:rPr>
      </w:pPr>
    </w:p>
    <w:p>
      <w:pPr>
        <w:pStyle w:val="2"/>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第一部分 部门概况</w:t>
      </w:r>
      <w:r>
        <w:rPr>
          <w:rFonts w:asciiTheme="majorEastAsia" w:hAnsiTheme="majorEastAsia" w:eastAsiaTheme="majorEastAsia"/>
          <w:b/>
          <w:sz w:val="36"/>
          <w:lang w:eastAsia="zh-CN"/>
        </w:rPr>
        <w:t>…………………………………</w:t>
      </w:r>
      <w:r>
        <w:rPr>
          <w:rFonts w:hint="eastAsia" w:asciiTheme="majorEastAsia" w:hAnsiTheme="majorEastAsia" w:eastAsiaTheme="majorEastAsia"/>
          <w:b/>
          <w:sz w:val="36"/>
          <w:lang w:eastAsia="zh-CN"/>
        </w:rPr>
        <w:t>4</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一、部门主要职责</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4</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二、部门预算单位构成</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5</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三、部门主要工作任务</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6</w:t>
      </w:r>
    </w:p>
    <w:p>
      <w:pPr>
        <w:pStyle w:val="2"/>
        <w:rPr>
          <w:rFonts w:asciiTheme="majorEastAsia" w:hAnsiTheme="majorEastAsia" w:eastAsiaTheme="majorEastAsia"/>
          <w:b/>
          <w:sz w:val="36"/>
          <w:lang w:eastAsia="zh-CN"/>
        </w:rPr>
      </w:pPr>
      <w:r>
        <w:rPr>
          <w:rFonts w:hint="eastAsia" w:asciiTheme="majorEastAsia" w:hAnsiTheme="majorEastAsia" w:eastAsiaTheme="majorEastAsia"/>
          <w:b/>
          <w:sz w:val="36"/>
          <w:lang w:eastAsia="zh-CN"/>
        </w:rPr>
        <w:t>第二部分 2020年度部门预算表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8</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一、收支预算总表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8</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二、收入预算总表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9</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三、支出预算总表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10</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四、财政拨款收支预算总表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10</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五、一般公共预算拨款支出预算表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11</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六、政府性基金拨款支出预算表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11</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七、一般公共预算支出经济分类情况表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12</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八、一般公共预算基本支出经济分类情况表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12</w:t>
      </w:r>
    </w:p>
    <w:p>
      <w:pPr>
        <w:pStyle w:val="2"/>
        <w:rPr>
          <w:rFonts w:asciiTheme="majorEastAsia" w:hAnsiTheme="majorEastAsia" w:eastAsiaTheme="majorEastAsia"/>
          <w:sz w:val="36"/>
          <w:lang w:eastAsia="zh-CN"/>
        </w:rPr>
      </w:pPr>
      <w:r>
        <w:rPr>
          <w:rFonts w:hint="eastAsia" w:asciiTheme="majorEastAsia" w:hAnsiTheme="majorEastAsia" w:eastAsiaTheme="majorEastAsia"/>
          <w:sz w:val="36"/>
          <w:lang w:eastAsia="zh-CN"/>
        </w:rPr>
        <w:t>九、一般公共预算“三公”经费支出预算表</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15</w:t>
      </w:r>
    </w:p>
    <w:p>
      <w:pPr>
        <w:widowControl/>
        <w:rPr>
          <w:rFonts w:asciiTheme="majorEastAsia" w:hAnsiTheme="majorEastAsia" w:eastAsiaTheme="majorEastAsia"/>
          <w:b/>
          <w:sz w:val="40"/>
        </w:rPr>
      </w:pPr>
      <w:r>
        <w:rPr>
          <w:rFonts w:hint="eastAsia" w:asciiTheme="majorEastAsia" w:hAnsiTheme="majorEastAsia" w:eastAsiaTheme="majorEastAsia"/>
          <w:b/>
          <w:sz w:val="40"/>
        </w:rPr>
        <w:t>第三部分 2020年度部门预算情况说明</w:t>
      </w:r>
      <w:r>
        <w:rPr>
          <w:rFonts w:asciiTheme="majorEastAsia" w:hAnsiTheme="majorEastAsia" w:eastAsiaTheme="majorEastAsia"/>
          <w:sz w:val="36"/>
        </w:rPr>
        <w:t>………</w:t>
      </w:r>
      <w:r>
        <w:rPr>
          <w:rFonts w:hint="eastAsia" w:asciiTheme="majorEastAsia" w:hAnsiTheme="majorEastAsia" w:eastAsiaTheme="majorEastAsia"/>
          <w:sz w:val="36"/>
        </w:rPr>
        <w:t>16</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一、预算收支总体情况</w:t>
      </w:r>
      <w:r>
        <w:rPr>
          <w:rFonts w:asciiTheme="majorEastAsia" w:hAnsiTheme="majorEastAsia" w:eastAsiaTheme="majorEastAsia"/>
          <w:sz w:val="36"/>
        </w:rPr>
        <w:t>………………………………</w:t>
      </w:r>
      <w:r>
        <w:rPr>
          <w:rFonts w:hint="eastAsia" w:asciiTheme="majorEastAsia" w:hAnsiTheme="majorEastAsia" w:eastAsiaTheme="majorEastAsia"/>
          <w:sz w:val="36"/>
        </w:rPr>
        <w:t>16</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二、一般公共预算拨款支出情况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rPr>
        <w:t>16</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三、政府性基金预算拨款支出情况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rPr>
        <w:t>17</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四、财政拨款预算基本支出情况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rPr>
        <w:t>17</w:t>
      </w:r>
    </w:p>
    <w:p>
      <w:pPr>
        <w:widowControl/>
        <w:rPr>
          <w:rFonts w:cs="Times New Roman" w:asciiTheme="majorEastAsia" w:hAnsiTheme="majorEastAsia" w:eastAsiaTheme="majorEastAsia"/>
          <w:kern w:val="0"/>
          <w:sz w:val="36"/>
          <w:szCs w:val="20"/>
        </w:rPr>
      </w:pPr>
      <w:r>
        <w:rPr>
          <w:rFonts w:hint="eastAsia" w:cs="Times New Roman" w:asciiTheme="majorEastAsia" w:hAnsiTheme="majorEastAsia" w:eastAsiaTheme="majorEastAsia"/>
          <w:kern w:val="0"/>
          <w:sz w:val="36"/>
          <w:szCs w:val="20"/>
        </w:rPr>
        <w:t>五、一般公共预算“三公”经费支出情况</w:t>
      </w:r>
      <w:r>
        <w:rPr>
          <w:rFonts w:cs="Times New Roman" w:asciiTheme="majorEastAsia" w:hAnsiTheme="majorEastAsia" w:eastAsiaTheme="majorEastAsia"/>
          <w:kern w:val="0"/>
          <w:sz w:val="36"/>
          <w:szCs w:val="20"/>
        </w:rPr>
        <w:t>……………</w:t>
      </w:r>
      <w:r>
        <w:rPr>
          <w:rFonts w:hint="eastAsia" w:cs="Times New Roman" w:asciiTheme="majorEastAsia" w:hAnsiTheme="majorEastAsia" w:eastAsiaTheme="majorEastAsia"/>
          <w:kern w:val="0"/>
          <w:sz w:val="36"/>
          <w:szCs w:val="20"/>
        </w:rPr>
        <w:t>17</w:t>
      </w:r>
    </w:p>
    <w:p>
      <w:pPr>
        <w:pStyle w:val="2"/>
        <w:spacing w:before="3"/>
        <w:rPr>
          <w:rFonts w:eastAsiaTheme="minorEastAsia"/>
          <w:sz w:val="26"/>
          <w:lang w:eastAsia="zh-CN"/>
        </w:rPr>
      </w:pPr>
      <w:r>
        <w:rPr>
          <w:rFonts w:hint="eastAsia" w:asciiTheme="majorEastAsia" w:hAnsiTheme="majorEastAsia" w:eastAsiaTheme="majorEastAsia"/>
          <w:b/>
          <w:sz w:val="40"/>
          <w:lang w:eastAsia="zh-CN"/>
        </w:rPr>
        <w:t>第四部分 名词解释</w:t>
      </w:r>
      <w:r>
        <w:rPr>
          <w:rFonts w:asciiTheme="majorEastAsia" w:hAnsiTheme="majorEastAsia" w:eastAsiaTheme="majorEastAsia"/>
          <w:sz w:val="36"/>
          <w:lang w:eastAsia="zh-CN"/>
        </w:rPr>
        <w:t>………………………………</w:t>
      </w:r>
      <w:r>
        <w:rPr>
          <w:rFonts w:hint="eastAsia" w:asciiTheme="majorEastAsia" w:hAnsiTheme="majorEastAsia" w:eastAsiaTheme="majorEastAsia"/>
          <w:sz w:val="36"/>
          <w:lang w:eastAsia="zh-CN"/>
        </w:rPr>
        <w:t>18</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2"/>
        <w:jc w:val="center"/>
        <w:rPr>
          <w:rFonts w:ascii="黑体" w:hAnsi="黑体" w:eastAsia="黑体"/>
          <w:sz w:val="36"/>
          <w:szCs w:val="36"/>
          <w:lang w:eastAsia="zh-CN"/>
        </w:rPr>
      </w:pPr>
      <w:r>
        <w:rPr>
          <w:rFonts w:hint="eastAsia" w:ascii="黑体" w:hAnsi="黑体" w:eastAsia="黑体"/>
          <w:sz w:val="36"/>
          <w:szCs w:val="36"/>
          <w:lang w:eastAsia="zh-CN"/>
        </w:rPr>
        <w:t>第一部分 部门概况</w:t>
      </w:r>
    </w:p>
    <w:p>
      <w:pPr>
        <w:pStyle w:val="2"/>
        <w:rPr>
          <w:rFonts w:ascii="黑体" w:hAnsi="黑体" w:eastAsia="黑体"/>
          <w:sz w:val="36"/>
          <w:szCs w:val="36"/>
          <w:lang w:eastAsia="zh-CN"/>
        </w:rPr>
      </w:pPr>
    </w:p>
    <w:p>
      <w:pPr>
        <w:pStyle w:val="2"/>
        <w:rPr>
          <w:rFonts w:ascii="仿宋" w:hAnsi="仿宋" w:eastAsia="仿宋" w:cstheme="minorBidi"/>
          <w:b/>
          <w:kern w:val="2"/>
          <w:sz w:val="32"/>
          <w:szCs w:val="32"/>
          <w:lang w:eastAsia="zh-CN"/>
        </w:rPr>
      </w:pPr>
      <w:r>
        <w:rPr>
          <w:rFonts w:hint="eastAsia" w:ascii="仿宋" w:hAnsi="仿宋" w:eastAsia="仿宋" w:cstheme="minorBidi"/>
          <w:b/>
          <w:kern w:val="2"/>
          <w:sz w:val="32"/>
          <w:szCs w:val="32"/>
          <w:lang w:eastAsia="zh-CN"/>
        </w:rPr>
        <w:t>一、部门主要职责</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鼓楼区委编办部门的主要职责是：</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一）贯彻执行党和国家有关行政管理体制、机构改革以及机构编制管理的方针、政策、法规，研究拟订本区行政管理体制、机构改革、机构编制管理的实施细则，统一管理全区各级党政机关，人大、政协、检察院、法院机关，各民主党派、人民团体机关及事业单位的机构编制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（二）根据中央和省、市行政管理体制与机构改革的目标、原则、要求，研究拟订全区各级行政管理体制与机构改革的总体方案及实施办法。负责全区行政管理体制、机构改革和机构编制管理工作。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三）协调区级党政群各部门的职能配置与调整，协调各部门之间职责分工；负责区级党政机关、人大、政协、检察院、法院机关和各民主党派、人民团体机关以及区委、区政府归口管理机构，内设机构、人员编制、领导职数和人员编制结构的审核或审批；负责区级党政群工作机构的设置、调整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四）研究拟订全区事业单位管理体制和机构改革的总体方案；审核或审批区直事业单位机构设置、人员编制、领导职数、人员编制结构及区所属事业单位确定正、副科级规格的申报工作；负责办理事业机构编制管理方面的其他事项；负责区级事业单位机构改革和机构编制管理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五）负责区直党政群机关、事业单位机构编制执行情况的监督检查。负责全区机构改革方案和机构编制执行情况的监督检查，对随意增设机构、机构升格、增加人员编制和领导职数等违反编制法规行为，予以纠正或提出意见，经区委机构编制委员会审议后，报请区委、区政府处理。</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（六）负责行政管理体制、机构改革及机构编制的理论研究和信息传递、交流工作，负责机构编制的统计工作。</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（七）负责市委机构编制委员会及其办公室下达有关部门专项编制的分配和管理工作。</w:t>
      </w:r>
    </w:p>
    <w:p>
      <w:pPr>
        <w:ind w:firstLine="640" w:firstLineChars="200"/>
        <w:rPr>
          <w:rFonts w:ascii="仿宋" w:hAnsi="仿宋" w:eastAsia="仿宋"/>
          <w:sz w:val="32"/>
          <w:szCs w:val="32"/>
        </w:rPr>
      </w:pPr>
      <w:r>
        <w:rPr>
          <w:rFonts w:hint="eastAsia" w:ascii="仿宋" w:hAnsi="仿宋" w:eastAsia="仿宋"/>
          <w:sz w:val="32"/>
          <w:szCs w:val="32"/>
        </w:rPr>
        <w:t>（八）负责机关事业单位登记管理的各项工作，参与管理机关事业单位的统一代码标识工作。</w:t>
      </w:r>
    </w:p>
    <w:p>
      <w:pPr>
        <w:pStyle w:val="2"/>
        <w:rPr>
          <w:rFonts w:ascii="仿宋" w:hAnsi="仿宋" w:eastAsia="仿宋" w:cstheme="minorBidi"/>
          <w:b/>
          <w:kern w:val="2"/>
          <w:sz w:val="32"/>
          <w:szCs w:val="32"/>
          <w:lang w:eastAsia="zh-CN"/>
        </w:rPr>
      </w:pPr>
      <w:r>
        <w:rPr>
          <w:rFonts w:hint="eastAsia" w:ascii="仿宋" w:hAnsi="仿宋" w:eastAsia="仿宋" w:cstheme="minorBidi"/>
          <w:b/>
          <w:kern w:val="2"/>
          <w:sz w:val="32"/>
          <w:szCs w:val="32"/>
          <w:lang w:eastAsia="zh-CN"/>
        </w:rPr>
        <w:t>二、部门预算单位构成</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从预算单位构成看，鼓楼区编办部门包括两个机关行政处（科）室：综合科、体制改革科，两个下属单位：鼓楼区事业单位登记管理局、鼓楼区机构编制政务中心，</w:t>
      </w:r>
      <w:r>
        <w:rPr>
          <w:rFonts w:hint="eastAsia" w:ascii="仿宋" w:hAnsi="仿宋" w:eastAsia="仿宋"/>
          <w:sz w:val="32"/>
          <w:szCs w:val="32"/>
        </w:rPr>
        <w:t>其中：列入2020年部门预算编制范围的单位详细情况见下表:</w:t>
      </w:r>
    </w:p>
    <w:p>
      <w:pPr>
        <w:tabs>
          <w:tab w:val="left" w:pos="7513"/>
        </w:tabs>
        <w:adjustRightInd w:val="0"/>
        <w:snapToGrid w:val="0"/>
        <w:spacing w:line="600" w:lineRule="exact"/>
        <w:ind w:firstLine="640" w:firstLineChars="200"/>
        <w:rPr>
          <w:rFonts w:ascii="仿宋" w:hAnsi="仿宋" w:eastAsia="仿宋"/>
          <w:sz w:val="32"/>
          <w:szCs w:val="32"/>
        </w:rPr>
      </w:pP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单位名称</w:t>
            </w:r>
          </w:p>
        </w:tc>
        <w:tc>
          <w:tcPr>
            <w:tcW w:w="2130"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经费性质</w:t>
            </w:r>
          </w:p>
        </w:tc>
        <w:tc>
          <w:tcPr>
            <w:tcW w:w="2131"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人员编制数</w:t>
            </w:r>
          </w:p>
        </w:tc>
        <w:tc>
          <w:tcPr>
            <w:tcW w:w="2131" w:type="dxa"/>
            <w:shd w:val="clear" w:color="auto" w:fill="auto"/>
          </w:tcPr>
          <w:p>
            <w:pPr>
              <w:tabs>
                <w:tab w:val="left" w:pos="7513"/>
              </w:tabs>
              <w:adjustRightInd w:val="0"/>
              <w:snapToGrid w:val="0"/>
              <w:spacing w:line="600" w:lineRule="exact"/>
              <w:jc w:val="center"/>
              <w:rPr>
                <w:rFonts w:ascii="仿宋" w:hAnsi="仿宋" w:eastAsia="仿宋"/>
                <w:sz w:val="32"/>
                <w:szCs w:val="32"/>
              </w:rPr>
            </w:pPr>
            <w:r>
              <w:rPr>
                <w:rFonts w:hint="eastAsia" w:ascii="仿宋" w:hAnsi="仿宋" w:eastAsia="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鼓楼区委机构编制委员会办公室</w:t>
            </w:r>
          </w:p>
        </w:tc>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财政全额拨款</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鼓楼区事业单位登记管</w:t>
            </w:r>
            <w:r>
              <w:rPr>
                <w:rFonts w:hint="eastAsia" w:ascii="仿宋_GB2312" w:hAnsi="仿宋_GB2312" w:eastAsia="仿宋_GB2312" w:cs="仿宋_GB2312"/>
                <w:sz w:val="24"/>
                <w:szCs w:val="24"/>
              </w:rPr>
              <w:t>理局</w:t>
            </w:r>
            <w:r>
              <w:rPr>
                <w:rFonts w:hint="eastAsia" w:ascii="仿宋_GB2312" w:hAnsi="仿宋_GB2312" w:eastAsia="仿宋_GB2312" w:cs="仿宋_GB2312"/>
                <w:sz w:val="24"/>
                <w:szCs w:val="24"/>
              </w:rPr>
              <w:tab/>
            </w:r>
          </w:p>
        </w:tc>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财政全额拨款</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鼓楼区机构编制政务中心</w:t>
            </w:r>
          </w:p>
        </w:tc>
        <w:tc>
          <w:tcPr>
            <w:tcW w:w="2130"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rPr>
              <w:t>财政全额拨款</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31" w:type="dxa"/>
            <w:shd w:val="clear" w:color="auto" w:fill="auto"/>
          </w:tcPr>
          <w:p>
            <w:pPr>
              <w:tabs>
                <w:tab w:val="left" w:pos="7513"/>
              </w:tabs>
              <w:adjustRightInd w:val="0"/>
              <w:snapToGrid w:val="0"/>
              <w:spacing w:line="6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三、部门主要工作任务</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2020年，我办将继续认真学习、深刻领会和贯彻落实党的十九大精神，提振精神，加压奋进，进一步深化机构和行政体制改革，确保各项工作开展紧跟形势步伐，取得实效。现将相关工作思路汇报如下：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持续推进全面完成机构改革工作任务。一是组织20家涉改部门做好“三定”和机构编制事项调整工作；二是推动街镇体制改革工作，整合街镇事业机构并升格机构级别，打通事业体制人员的上升通道；三是深化群团组织改革，充分发挥党和政府联系人民群众的桥梁纽带作用；四是深化行政执法体制改革，组建综合执法队伍，整合市场监督管理所，实行纳入乡镇（街道）统一指挥协调工作机制；五是统筹推进事业单位改革，将单位职能转移、弱化、重复的、不适应经济社会发展需要的事业单位予以“撤、并、建”，回收编制和机构数用以加强关键领域工作。</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（二）持续优化机构编制资源管理。做好机构编制日常性工作，承办部门编制事项和用编申请，实时维护实名制管理系统，进一步加强编制管理，加强机构编制信息化安全管理。</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（三）行政审批制度改革工作。做好行政审批制度改革职责的交接工作，确保该项工作不断档、不出现监管空白，确保职责正常履行。</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继续推进事业单位管理服务。做好新增赋码、存量换证等工作，继续做好全区行政机关、群团和受中央、省、市委托的垂直管理单位办理统一社会信用代码赋码、变更、补领和撤销等工作，及时将各类申报材料入户归档，完善“一户一档”式管理制度。</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（五）继续抓好机构编制部门自身建设。一是继续推动“两学一做</w:t>
      </w:r>
      <w:bookmarkStart w:id="0" w:name="_GoBack"/>
      <w:bookmarkEnd w:id="0"/>
      <w:r>
        <w:rPr>
          <w:rFonts w:hint="eastAsia" w:ascii="仿宋" w:hAnsi="仿宋" w:eastAsia="仿宋" w:cs="仿宋_GB2312"/>
          <w:sz w:val="32"/>
          <w:szCs w:val="32"/>
        </w:rPr>
        <w:t>”学习教育常态化制度化，提高机构编制工作者素质能力，努力打造一支业务精湛、能力过硬、作风优良、清正廉洁的机构编制干部队伍。</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（六）加强信息报送工作。加强信息报送的宣传氛围，提高信息宣传工作水平，将信息工作贯彻全年工作始终，有效提高信息报送数量和质量。</w:t>
      </w:r>
    </w:p>
    <w:p>
      <w:pPr>
        <w:pStyle w:val="2"/>
        <w:ind w:firstLine="640"/>
        <w:rPr>
          <w:rFonts w:ascii="仿宋" w:hAnsi="仿宋" w:eastAsia="仿宋" w:cs="仿宋_GB2312"/>
          <w:sz w:val="32"/>
          <w:szCs w:val="32"/>
          <w:lang w:eastAsia="zh-CN"/>
        </w:rPr>
      </w:pPr>
      <w:r>
        <w:rPr>
          <w:rFonts w:hint="eastAsia" w:ascii="仿宋" w:hAnsi="仿宋" w:eastAsia="仿宋" w:cs="仿宋_GB2312"/>
          <w:sz w:val="32"/>
          <w:szCs w:val="32"/>
          <w:lang w:eastAsia="zh-CN"/>
        </w:rPr>
        <w:t>（七）相关建议：加强对县区编办系统人员的业务培训工作。</w:t>
      </w: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p>
    <w:p>
      <w:pPr>
        <w:pStyle w:val="2"/>
        <w:ind w:firstLine="640"/>
        <w:jc w:val="center"/>
        <w:rPr>
          <w:rFonts w:ascii="黑体" w:hAnsi="黑体" w:eastAsia="黑体"/>
          <w:sz w:val="36"/>
          <w:szCs w:val="36"/>
          <w:lang w:eastAsia="zh-CN"/>
        </w:rPr>
      </w:pPr>
      <w:r>
        <w:rPr>
          <w:rFonts w:hint="eastAsia" w:ascii="黑体" w:hAnsi="黑体" w:eastAsia="黑体"/>
          <w:sz w:val="36"/>
          <w:szCs w:val="36"/>
          <w:lang w:eastAsia="zh-CN"/>
        </w:rPr>
        <w:t>第二部分 2020年度部门预算表</w:t>
      </w:r>
    </w:p>
    <w:p>
      <w:pPr>
        <w:pStyle w:val="2"/>
        <w:rPr>
          <w:rFonts w:asciiTheme="majorEastAsia" w:hAnsiTheme="majorEastAsia" w:eastAsiaTheme="majorEastAsia"/>
          <w:sz w:val="36"/>
          <w:lang w:eastAsia="zh-CN"/>
        </w:rPr>
      </w:pPr>
    </w:p>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一、收支预算总表</w:t>
      </w:r>
    </w:p>
    <w:tbl>
      <w:tblPr>
        <w:tblStyle w:val="6"/>
        <w:tblW w:w="8336" w:type="dxa"/>
        <w:tblInd w:w="0" w:type="dxa"/>
        <w:tblLayout w:type="fixed"/>
        <w:tblCellMar>
          <w:top w:w="15" w:type="dxa"/>
          <w:left w:w="15" w:type="dxa"/>
          <w:bottom w:w="15" w:type="dxa"/>
          <w:right w:w="15" w:type="dxa"/>
        </w:tblCellMar>
      </w:tblPr>
      <w:tblGrid>
        <w:gridCol w:w="2681"/>
        <w:gridCol w:w="1329"/>
        <w:gridCol w:w="2846"/>
        <w:gridCol w:w="1480"/>
      </w:tblGrid>
      <w:tr>
        <w:tblPrEx>
          <w:tblCellMar>
            <w:top w:w="15" w:type="dxa"/>
            <w:left w:w="15" w:type="dxa"/>
            <w:bottom w:w="15" w:type="dxa"/>
            <w:right w:w="15" w:type="dxa"/>
          </w:tblCellMar>
        </w:tblPrEx>
        <w:trPr>
          <w:trHeight w:val="405" w:hRule="atLeast"/>
        </w:trPr>
        <w:tc>
          <w:tcPr>
            <w:tcW w:w="8336" w:type="dxa"/>
            <w:gridSpan w:val="4"/>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年度收支预算总表</w:t>
            </w:r>
          </w:p>
        </w:tc>
      </w:tr>
      <w:tr>
        <w:tblPrEx>
          <w:tblCellMar>
            <w:top w:w="15" w:type="dxa"/>
            <w:left w:w="15" w:type="dxa"/>
            <w:bottom w:w="15" w:type="dxa"/>
            <w:right w:w="15" w:type="dxa"/>
          </w:tblCellMar>
        </w:tblPrEx>
        <w:trPr>
          <w:trHeight w:val="286" w:hRule="atLeast"/>
        </w:trPr>
        <w:tc>
          <w:tcPr>
            <w:tcW w:w="2681" w:type="dxa"/>
            <w:shd w:val="clear" w:color="auto" w:fill="auto"/>
            <w:vAlign w:val="bottom"/>
          </w:tcPr>
          <w:p>
            <w:pPr>
              <w:rPr>
                <w:rFonts w:ascii="宋体" w:hAnsi="宋体" w:eastAsia="宋体" w:cs="宋体"/>
                <w:color w:val="000000"/>
                <w:sz w:val="24"/>
                <w:szCs w:val="24"/>
              </w:rPr>
            </w:pPr>
          </w:p>
        </w:tc>
        <w:tc>
          <w:tcPr>
            <w:tcW w:w="1329" w:type="dxa"/>
            <w:shd w:val="clear" w:color="auto" w:fill="auto"/>
            <w:vAlign w:val="bottom"/>
          </w:tcPr>
          <w:p>
            <w:pPr>
              <w:rPr>
                <w:rFonts w:ascii="宋体" w:hAnsi="宋体" w:eastAsia="宋体" w:cs="宋体"/>
                <w:color w:val="000000"/>
                <w:sz w:val="24"/>
                <w:szCs w:val="24"/>
              </w:rPr>
            </w:pPr>
          </w:p>
        </w:tc>
        <w:tc>
          <w:tcPr>
            <w:tcW w:w="2846" w:type="dxa"/>
            <w:shd w:val="clear" w:color="auto" w:fill="auto"/>
            <w:vAlign w:val="bottom"/>
          </w:tcPr>
          <w:p>
            <w:pPr>
              <w:rPr>
                <w:rFonts w:ascii="宋体" w:hAnsi="宋体" w:eastAsia="宋体" w:cs="宋体"/>
                <w:color w:val="000000"/>
                <w:sz w:val="24"/>
                <w:szCs w:val="24"/>
              </w:rPr>
            </w:pPr>
          </w:p>
        </w:tc>
        <w:tc>
          <w:tcPr>
            <w:tcW w:w="1480" w:type="dxa"/>
            <w:shd w:val="clear" w:color="auto" w:fill="auto"/>
            <w:vAlign w:val="center"/>
          </w:tcPr>
          <w:p>
            <w:pPr>
              <w:widowControl/>
              <w:jc w:val="righ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单位：万元</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收    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支    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收入项目类别</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支出项目类别</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136.99</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一、基本支出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111.09</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二、基金预算财政拨款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人员支出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82.18</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三、财政专户拨款</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对个人和家庭补助支出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15.11</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四、单位其他收入</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公用支出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13.8</w:t>
            </w:r>
          </w:p>
        </w:tc>
      </w:tr>
      <w:tr>
        <w:tblPrEx>
          <w:tblCellMar>
            <w:top w:w="15" w:type="dxa"/>
            <w:left w:w="15" w:type="dxa"/>
            <w:bottom w:w="15" w:type="dxa"/>
            <w:right w:w="15" w:type="dxa"/>
          </w:tblCellMar>
        </w:tblPrEx>
        <w:trPr>
          <w:trHeight w:val="390"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五、单位结余结转资金</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二、项目支出</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25.9</w:t>
            </w:r>
          </w:p>
        </w:tc>
      </w:tr>
      <w:tr>
        <w:tblPrEx>
          <w:tblCellMar>
            <w:top w:w="15" w:type="dxa"/>
            <w:left w:w="15" w:type="dxa"/>
            <w:bottom w:w="15" w:type="dxa"/>
            <w:right w:w="15" w:type="dxa"/>
          </w:tblCellMar>
        </w:tblPrEx>
        <w:trPr>
          <w:trHeight w:val="405" w:hRule="atLeast"/>
        </w:trPr>
        <w:tc>
          <w:tcPr>
            <w:tcW w:w="2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收入合计</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136.99</w:t>
            </w:r>
          </w:p>
        </w:tc>
        <w:tc>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支出合计</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136.99</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二、收入预算总表</w:t>
      </w:r>
    </w:p>
    <w:tbl>
      <w:tblPr>
        <w:tblStyle w:val="6"/>
        <w:tblW w:w="8336" w:type="dxa"/>
        <w:tblInd w:w="0" w:type="dxa"/>
        <w:tblLayout w:type="fixed"/>
        <w:tblCellMar>
          <w:top w:w="15" w:type="dxa"/>
          <w:left w:w="15" w:type="dxa"/>
          <w:bottom w:w="15" w:type="dxa"/>
          <w:right w:w="15" w:type="dxa"/>
        </w:tblCellMar>
      </w:tblPr>
      <w:tblGrid>
        <w:gridCol w:w="992"/>
        <w:gridCol w:w="1797"/>
        <w:gridCol w:w="980"/>
        <w:gridCol w:w="931"/>
        <w:gridCol w:w="882"/>
        <w:gridCol w:w="882"/>
        <w:gridCol w:w="882"/>
        <w:gridCol w:w="990"/>
      </w:tblGrid>
      <w:tr>
        <w:tblPrEx>
          <w:tblCellMar>
            <w:top w:w="15" w:type="dxa"/>
            <w:left w:w="15" w:type="dxa"/>
            <w:bottom w:w="15" w:type="dxa"/>
            <w:right w:w="15" w:type="dxa"/>
          </w:tblCellMar>
        </w:tblPrEx>
        <w:trPr>
          <w:trHeight w:val="570" w:hRule="atLeast"/>
        </w:trPr>
        <w:tc>
          <w:tcPr>
            <w:tcW w:w="8336" w:type="dxa"/>
            <w:gridSpan w:val="8"/>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年度收入预算总表</w:t>
            </w:r>
          </w:p>
        </w:tc>
      </w:tr>
      <w:tr>
        <w:tblPrEx>
          <w:tblCellMar>
            <w:top w:w="15" w:type="dxa"/>
            <w:left w:w="15" w:type="dxa"/>
            <w:bottom w:w="15" w:type="dxa"/>
            <w:right w:w="15" w:type="dxa"/>
          </w:tblCellMar>
        </w:tblPrEx>
        <w:trPr>
          <w:trHeight w:val="510" w:hRule="atLeast"/>
        </w:trPr>
        <w:tc>
          <w:tcPr>
            <w:tcW w:w="992" w:type="dxa"/>
            <w:shd w:val="clear" w:color="auto" w:fill="auto"/>
            <w:vAlign w:val="bottom"/>
          </w:tcPr>
          <w:p>
            <w:pPr>
              <w:rPr>
                <w:rFonts w:ascii="宋体" w:hAnsi="宋体" w:eastAsia="宋体" w:cs="宋体"/>
                <w:color w:val="000000"/>
                <w:sz w:val="24"/>
                <w:szCs w:val="24"/>
              </w:rPr>
            </w:pPr>
          </w:p>
        </w:tc>
        <w:tc>
          <w:tcPr>
            <w:tcW w:w="1797" w:type="dxa"/>
            <w:shd w:val="clear" w:color="auto" w:fill="auto"/>
            <w:vAlign w:val="bottom"/>
          </w:tcPr>
          <w:p>
            <w:pPr>
              <w:rPr>
                <w:rFonts w:ascii="宋体" w:hAnsi="宋体" w:eastAsia="宋体" w:cs="宋体"/>
                <w:color w:val="000000"/>
                <w:sz w:val="24"/>
                <w:szCs w:val="24"/>
              </w:rPr>
            </w:pPr>
          </w:p>
        </w:tc>
        <w:tc>
          <w:tcPr>
            <w:tcW w:w="980" w:type="dxa"/>
            <w:shd w:val="clear" w:color="auto" w:fill="auto"/>
            <w:vAlign w:val="center"/>
          </w:tcPr>
          <w:p>
            <w:pPr>
              <w:jc w:val="center"/>
              <w:rPr>
                <w:rFonts w:ascii="黑体" w:hAnsi="宋体" w:eastAsia="黑体" w:cs="黑体"/>
                <w:color w:val="000000"/>
                <w:sz w:val="40"/>
                <w:szCs w:val="40"/>
              </w:rPr>
            </w:pPr>
          </w:p>
        </w:tc>
        <w:tc>
          <w:tcPr>
            <w:tcW w:w="931" w:type="dxa"/>
            <w:shd w:val="clear" w:color="auto" w:fill="auto"/>
            <w:vAlign w:val="center"/>
          </w:tcPr>
          <w:p>
            <w:pPr>
              <w:jc w:val="center"/>
              <w:rPr>
                <w:rFonts w:ascii="宋体" w:hAnsi="宋体" w:eastAsia="宋体" w:cs="宋体"/>
                <w:color w:val="000000"/>
                <w:sz w:val="24"/>
                <w:szCs w:val="24"/>
              </w:rPr>
            </w:pPr>
          </w:p>
        </w:tc>
        <w:tc>
          <w:tcPr>
            <w:tcW w:w="882" w:type="dxa"/>
            <w:shd w:val="clear" w:color="auto" w:fill="auto"/>
            <w:vAlign w:val="center"/>
          </w:tcPr>
          <w:p>
            <w:pPr>
              <w:jc w:val="center"/>
              <w:rPr>
                <w:rFonts w:ascii="宋体" w:hAnsi="宋体" w:eastAsia="宋体" w:cs="宋体"/>
                <w:color w:val="000000"/>
                <w:sz w:val="24"/>
                <w:szCs w:val="24"/>
              </w:rPr>
            </w:pPr>
          </w:p>
        </w:tc>
        <w:tc>
          <w:tcPr>
            <w:tcW w:w="882" w:type="dxa"/>
            <w:shd w:val="clear" w:color="auto" w:fill="auto"/>
            <w:vAlign w:val="center"/>
          </w:tcPr>
          <w:p>
            <w:pPr>
              <w:jc w:val="center"/>
              <w:rPr>
                <w:rFonts w:ascii="宋体" w:hAnsi="宋体" w:eastAsia="宋体" w:cs="宋体"/>
                <w:color w:val="000000"/>
                <w:sz w:val="24"/>
                <w:szCs w:val="24"/>
              </w:rPr>
            </w:pPr>
          </w:p>
        </w:tc>
        <w:tc>
          <w:tcPr>
            <w:tcW w:w="1872" w:type="dxa"/>
            <w:gridSpan w:val="2"/>
            <w:tcBorders>
              <w:bottom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286" w:hRule="atLeast"/>
        </w:trPr>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单位编码</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单位名称</w:t>
            </w:r>
          </w:p>
        </w:tc>
        <w:tc>
          <w:tcPr>
            <w:tcW w:w="55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资金来源</w:t>
            </w:r>
          </w:p>
        </w:tc>
      </w:tr>
      <w:tr>
        <w:tblPrEx>
          <w:tblCellMar>
            <w:top w:w="15" w:type="dxa"/>
            <w:left w:w="15" w:type="dxa"/>
            <w:bottom w:w="15" w:type="dxa"/>
            <w:right w:w="15" w:type="dxa"/>
          </w:tblCellMar>
        </w:tblPrEx>
        <w:trPr>
          <w:trHeight w:val="1200" w:hRule="atLeast"/>
        </w:trPr>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一般公共预算拨款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基金预算拨款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财政专户拨款</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单位结余结转资金</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单位其它收入</w:t>
            </w:r>
          </w:p>
        </w:tc>
      </w:tr>
      <w:tr>
        <w:tblPrEx>
          <w:tblCellMar>
            <w:top w:w="15" w:type="dxa"/>
            <w:left w:w="15" w:type="dxa"/>
            <w:bottom w:w="15" w:type="dxa"/>
            <w:right w:w="15" w:type="dxa"/>
          </w:tblCellMar>
        </w:tblPrEx>
        <w:trPr>
          <w:trHeight w:val="39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15" w:type="dxa"/>
            <w:left w:w="15" w:type="dxa"/>
            <w:bottom w:w="15" w:type="dxa"/>
            <w:right w:w="15" w:type="dxa"/>
          </w:tblCellMar>
        </w:tblPrEx>
        <w:trPr>
          <w:trHeight w:val="39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2"/>
              </w:rPr>
              <w:t>合计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136.99</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136.99</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ascii="宋体" w:hAnsi="宋体" w:eastAsia="宋体" w:cs="宋体"/>
                <w:color w:val="000000"/>
                <w:sz w:val="22"/>
              </w:rPr>
              <w:t>135001</w:t>
            </w:r>
            <w:r>
              <w:rPr>
                <w:rFonts w:hint="eastAsia" w:ascii="宋体" w:hAnsi="宋体" w:eastAsia="宋体" w:cs="宋体"/>
                <w:color w:val="000000"/>
                <w:sz w:val="22"/>
              </w:rPr>
              <w:tab/>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r>
              <w:rPr>
                <w:rFonts w:hint="eastAsia" w:ascii="宋体" w:hAnsi="宋体" w:eastAsia="宋体" w:cs="宋体"/>
                <w:color w:val="000000"/>
                <w:sz w:val="22"/>
              </w:rPr>
              <w:t>编办</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89.44</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sz w:val="22"/>
              </w:rPr>
              <w:t>89.64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sz w:val="22"/>
              </w:rPr>
              <w:t>135002</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t>鼓楼区机构编制政务中心</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47.35</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47.35</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szCs w:val="24"/>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三、支出预算总表</w:t>
      </w:r>
    </w:p>
    <w:tbl>
      <w:tblPr>
        <w:tblStyle w:val="6"/>
        <w:tblW w:w="8336" w:type="dxa"/>
        <w:tblInd w:w="0" w:type="dxa"/>
        <w:tblLayout w:type="fixed"/>
        <w:tblCellMar>
          <w:top w:w="15" w:type="dxa"/>
          <w:left w:w="15" w:type="dxa"/>
          <w:bottom w:w="15" w:type="dxa"/>
          <w:right w:w="15" w:type="dxa"/>
        </w:tblCellMar>
      </w:tblPr>
      <w:tblGrid>
        <w:gridCol w:w="553"/>
        <w:gridCol w:w="777"/>
        <w:gridCol w:w="553"/>
        <w:gridCol w:w="645"/>
        <w:gridCol w:w="338"/>
        <w:gridCol w:w="461"/>
        <w:gridCol w:w="553"/>
        <w:gridCol w:w="553"/>
        <w:gridCol w:w="553"/>
        <w:gridCol w:w="584"/>
        <w:gridCol w:w="553"/>
        <w:gridCol w:w="553"/>
        <w:gridCol w:w="553"/>
        <w:gridCol w:w="553"/>
        <w:gridCol w:w="554"/>
      </w:tblGrid>
      <w:tr>
        <w:tblPrEx>
          <w:tblCellMar>
            <w:top w:w="15" w:type="dxa"/>
            <w:left w:w="15" w:type="dxa"/>
            <w:bottom w:w="15" w:type="dxa"/>
            <w:right w:w="15" w:type="dxa"/>
          </w:tblCellMar>
        </w:tblPrEx>
        <w:trPr>
          <w:trHeight w:val="405" w:hRule="atLeast"/>
        </w:trPr>
        <w:tc>
          <w:tcPr>
            <w:tcW w:w="8336" w:type="dxa"/>
            <w:gridSpan w:val="15"/>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年度支出预算总表</w:t>
            </w:r>
          </w:p>
        </w:tc>
      </w:tr>
      <w:tr>
        <w:tblPrEx>
          <w:tblCellMar>
            <w:top w:w="15" w:type="dxa"/>
            <w:left w:w="15" w:type="dxa"/>
            <w:bottom w:w="15" w:type="dxa"/>
            <w:right w:w="15" w:type="dxa"/>
          </w:tblCellMar>
        </w:tblPrEx>
        <w:trPr>
          <w:trHeight w:val="286" w:hRule="atLeast"/>
        </w:trPr>
        <w:tc>
          <w:tcPr>
            <w:tcW w:w="553" w:type="dxa"/>
            <w:shd w:val="clear" w:color="auto" w:fill="auto"/>
            <w:vAlign w:val="center"/>
          </w:tcPr>
          <w:p>
            <w:pPr>
              <w:rPr>
                <w:rFonts w:ascii="宋体" w:hAnsi="宋体" w:eastAsia="宋体" w:cs="宋体"/>
                <w:color w:val="000000"/>
                <w:sz w:val="24"/>
                <w:szCs w:val="24"/>
              </w:rPr>
            </w:pPr>
          </w:p>
        </w:tc>
        <w:tc>
          <w:tcPr>
            <w:tcW w:w="777"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645" w:type="dxa"/>
            <w:shd w:val="clear" w:color="auto" w:fill="auto"/>
            <w:vAlign w:val="center"/>
          </w:tcPr>
          <w:p>
            <w:pPr>
              <w:rPr>
                <w:rFonts w:ascii="宋体" w:hAnsi="宋体" w:eastAsia="宋体" w:cs="宋体"/>
                <w:color w:val="000000"/>
                <w:sz w:val="24"/>
                <w:szCs w:val="24"/>
              </w:rPr>
            </w:pPr>
          </w:p>
        </w:tc>
        <w:tc>
          <w:tcPr>
            <w:tcW w:w="338" w:type="dxa"/>
            <w:shd w:val="clear" w:color="auto" w:fill="auto"/>
            <w:vAlign w:val="center"/>
          </w:tcPr>
          <w:p>
            <w:pPr>
              <w:rPr>
                <w:rFonts w:ascii="宋体" w:hAnsi="宋体" w:eastAsia="宋体" w:cs="宋体"/>
                <w:color w:val="000000"/>
                <w:sz w:val="24"/>
                <w:szCs w:val="24"/>
              </w:rPr>
            </w:pPr>
          </w:p>
        </w:tc>
        <w:tc>
          <w:tcPr>
            <w:tcW w:w="461"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584"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553" w:type="dxa"/>
            <w:shd w:val="clear" w:color="auto" w:fill="auto"/>
            <w:vAlign w:val="center"/>
          </w:tcPr>
          <w:p>
            <w:pPr>
              <w:rPr>
                <w:rFonts w:ascii="宋体" w:hAnsi="宋体" w:eastAsia="宋体" w:cs="宋体"/>
                <w:color w:val="000000"/>
                <w:sz w:val="24"/>
                <w:szCs w:val="24"/>
              </w:rPr>
            </w:pPr>
          </w:p>
        </w:tc>
        <w:tc>
          <w:tcPr>
            <w:tcW w:w="1107" w:type="dxa"/>
            <w:gridSpan w:val="2"/>
            <w:tcBorders>
              <w:bottom w:val="single" w:color="000000" w:sz="4" w:space="0"/>
            </w:tcBorders>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271"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单位编码</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单位名称</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3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人员支出</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对个人和家庭的补助支出</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公用支出</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33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color w:val="000000"/>
                <w:kern w:val="0"/>
                <w:sz w:val="22"/>
              </w:rPr>
              <w:t>资金来源</w:t>
            </w:r>
          </w:p>
        </w:tc>
      </w:tr>
      <w:tr>
        <w:tblPrEx>
          <w:tblCellMar>
            <w:top w:w="15" w:type="dxa"/>
            <w:left w:w="15" w:type="dxa"/>
            <w:bottom w:w="15" w:type="dxa"/>
            <w:right w:w="15" w:type="dxa"/>
          </w:tblCellMar>
        </w:tblPrEx>
        <w:trPr>
          <w:trHeight w:val="85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一般公共预算拨款</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基金预算拨款</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财政专户拨款</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单位结余结转资金</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单位其它收入</w:t>
            </w:r>
          </w:p>
        </w:tc>
      </w:tr>
      <w:tr>
        <w:tblPrEx>
          <w:tblCellMar>
            <w:top w:w="15" w:type="dxa"/>
            <w:left w:w="15" w:type="dxa"/>
            <w:bottom w:w="15" w:type="dxa"/>
            <w:right w:w="15" w:type="dxa"/>
          </w:tblCellMar>
        </w:tblPrEx>
        <w:trPr>
          <w:trHeight w:val="359"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3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136.99 </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82.18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15.11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13.80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25.90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136.99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136.99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一般公共服务支出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136.99 </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82.18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15.11</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25.9</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136.99</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2013601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行政运行（其他共产党事务支出）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89.64 </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23.90</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135001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编办</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2013601</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编办</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89.64</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49.68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8.26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23.9</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89.64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2013650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事业运行（其他共产党事务支出）</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135002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鼓楼区机构编制政务中心</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2013650</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鼓楼区机构编制政务中心</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32.5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6.85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47.35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20"/>
                <w:szCs w:val="20"/>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1291" w:hRule="atLeast"/>
        </w:trPr>
        <w:tc>
          <w:tcPr>
            <w:tcW w:w="8336" w:type="dxa"/>
            <w:gridSpan w:val="15"/>
            <w:tcBorders>
              <w:top w:val="single" w:color="000000" w:sz="4" w:space="0"/>
            </w:tcBorders>
            <w:shd w:val="clear" w:color="auto" w:fill="auto"/>
            <w:vAlign w:val="center"/>
          </w:tcPr>
          <w:p>
            <w:pPr>
              <w:widowControl/>
              <w:jc w:val="left"/>
              <w:textAlignment w:val="center"/>
              <w:rPr>
                <w:rFonts w:ascii="楷体" w:hAnsi="楷体" w:eastAsia="楷体" w:cs="楷体"/>
                <w:color w:val="000000"/>
                <w:sz w:val="22"/>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四、财政拨款收支预算总表</w:t>
      </w:r>
    </w:p>
    <w:tbl>
      <w:tblPr>
        <w:tblStyle w:val="6"/>
        <w:tblW w:w="8336" w:type="dxa"/>
        <w:tblInd w:w="0" w:type="dxa"/>
        <w:tblLayout w:type="fixed"/>
        <w:tblCellMar>
          <w:top w:w="15" w:type="dxa"/>
          <w:left w:w="15" w:type="dxa"/>
          <w:bottom w:w="15" w:type="dxa"/>
          <w:right w:w="15" w:type="dxa"/>
        </w:tblCellMar>
      </w:tblPr>
      <w:tblGrid>
        <w:gridCol w:w="2185"/>
        <w:gridCol w:w="1684"/>
        <w:gridCol w:w="2325"/>
        <w:gridCol w:w="2142"/>
      </w:tblGrid>
      <w:tr>
        <w:tblPrEx>
          <w:tblCellMar>
            <w:top w:w="15" w:type="dxa"/>
            <w:left w:w="15" w:type="dxa"/>
            <w:bottom w:w="15" w:type="dxa"/>
            <w:right w:w="15" w:type="dxa"/>
          </w:tblCellMar>
        </w:tblPrEx>
        <w:trPr>
          <w:trHeight w:val="405" w:hRule="atLeast"/>
        </w:trPr>
        <w:tc>
          <w:tcPr>
            <w:tcW w:w="8336" w:type="dxa"/>
            <w:gridSpan w:val="4"/>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年度财政拨款收支预算总表</w:t>
            </w:r>
          </w:p>
        </w:tc>
      </w:tr>
      <w:tr>
        <w:tblPrEx>
          <w:tblCellMar>
            <w:top w:w="15" w:type="dxa"/>
            <w:left w:w="15" w:type="dxa"/>
            <w:bottom w:w="15" w:type="dxa"/>
            <w:right w:w="15" w:type="dxa"/>
          </w:tblCellMar>
        </w:tblPrEx>
        <w:trPr>
          <w:trHeight w:val="286" w:hRule="atLeast"/>
        </w:trPr>
        <w:tc>
          <w:tcPr>
            <w:tcW w:w="2185" w:type="dxa"/>
            <w:shd w:val="clear" w:color="auto" w:fill="auto"/>
            <w:vAlign w:val="bottom"/>
          </w:tcPr>
          <w:p>
            <w:pPr>
              <w:rPr>
                <w:rFonts w:ascii="宋体" w:hAnsi="宋体" w:eastAsia="宋体" w:cs="宋体"/>
                <w:color w:val="000000"/>
                <w:sz w:val="24"/>
                <w:szCs w:val="24"/>
              </w:rPr>
            </w:pPr>
          </w:p>
        </w:tc>
        <w:tc>
          <w:tcPr>
            <w:tcW w:w="1684" w:type="dxa"/>
            <w:shd w:val="clear" w:color="auto" w:fill="auto"/>
            <w:vAlign w:val="bottom"/>
          </w:tcPr>
          <w:p>
            <w:pPr>
              <w:rPr>
                <w:rFonts w:ascii="宋体" w:hAnsi="宋体" w:eastAsia="宋体" w:cs="宋体"/>
                <w:color w:val="000000"/>
                <w:sz w:val="24"/>
                <w:szCs w:val="24"/>
              </w:rPr>
            </w:pPr>
          </w:p>
        </w:tc>
        <w:tc>
          <w:tcPr>
            <w:tcW w:w="2325" w:type="dxa"/>
            <w:shd w:val="clear" w:color="auto" w:fill="auto"/>
            <w:vAlign w:val="bottom"/>
          </w:tcPr>
          <w:p>
            <w:pPr>
              <w:rPr>
                <w:rFonts w:ascii="宋体" w:hAnsi="宋体" w:eastAsia="宋体" w:cs="宋体"/>
                <w:color w:val="000000"/>
                <w:sz w:val="24"/>
                <w:szCs w:val="24"/>
              </w:rPr>
            </w:pPr>
          </w:p>
        </w:tc>
        <w:tc>
          <w:tcPr>
            <w:tcW w:w="2142" w:type="dxa"/>
            <w:shd w:val="clear" w:color="auto" w:fill="auto"/>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收    入</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b/>
                <w:color w:val="000000"/>
                <w:sz w:val="22"/>
              </w:rPr>
            </w:pPr>
            <w:r>
              <w:rPr>
                <w:rFonts w:hint="eastAsia" w:ascii="宋体" w:hAnsi="宋体" w:eastAsia="宋体" w:cs="宋体"/>
                <w:b/>
                <w:color w:val="000000"/>
                <w:kern w:val="0"/>
                <w:sz w:val="22"/>
              </w:rPr>
              <w:t>支    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收入项目类别</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支出项目类别</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一、一般公共预算拨款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一、基本支出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二、基金预算财政拨款</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人员支出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对个人和家庭补助支出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公用支出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二、项目支出</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收入合计</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支出合计</w:t>
            </w:r>
          </w:p>
        </w:tc>
        <w:tc>
          <w:tcPr>
            <w:tcW w:w="21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五、一般公共预算拨款支出预算表</w:t>
      </w:r>
    </w:p>
    <w:tbl>
      <w:tblPr>
        <w:tblStyle w:val="6"/>
        <w:tblW w:w="9027" w:type="dxa"/>
        <w:tblInd w:w="0" w:type="dxa"/>
        <w:tblLayout w:type="fixed"/>
        <w:tblCellMar>
          <w:top w:w="15" w:type="dxa"/>
          <w:left w:w="15" w:type="dxa"/>
          <w:bottom w:w="15" w:type="dxa"/>
          <w:right w:w="15" w:type="dxa"/>
        </w:tblCellMar>
      </w:tblPr>
      <w:tblGrid>
        <w:gridCol w:w="2230"/>
        <w:gridCol w:w="1655"/>
        <w:gridCol w:w="1479"/>
        <w:gridCol w:w="1655"/>
        <w:gridCol w:w="2008"/>
      </w:tblGrid>
      <w:tr>
        <w:tblPrEx>
          <w:tblCellMar>
            <w:top w:w="15" w:type="dxa"/>
            <w:left w:w="15" w:type="dxa"/>
            <w:bottom w:w="15" w:type="dxa"/>
            <w:right w:w="15" w:type="dxa"/>
          </w:tblCellMar>
        </w:tblPrEx>
        <w:trPr>
          <w:trHeight w:val="405" w:hRule="atLeast"/>
        </w:trPr>
        <w:tc>
          <w:tcPr>
            <w:tcW w:w="9027" w:type="dxa"/>
            <w:gridSpan w:val="5"/>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年度一般公共预算拨款支出预算表</w:t>
            </w:r>
          </w:p>
        </w:tc>
      </w:tr>
      <w:tr>
        <w:tblPrEx>
          <w:tblCellMar>
            <w:top w:w="15" w:type="dxa"/>
            <w:left w:w="15" w:type="dxa"/>
            <w:bottom w:w="15" w:type="dxa"/>
            <w:right w:w="15" w:type="dxa"/>
          </w:tblCellMar>
        </w:tblPrEx>
        <w:trPr>
          <w:trHeight w:val="286" w:hRule="atLeast"/>
        </w:trPr>
        <w:tc>
          <w:tcPr>
            <w:tcW w:w="2230" w:type="dxa"/>
            <w:shd w:val="clear" w:color="auto" w:fill="auto"/>
            <w:vAlign w:val="center"/>
          </w:tcPr>
          <w:p>
            <w:pPr>
              <w:rPr>
                <w:rFonts w:ascii="宋体" w:hAnsi="宋体" w:eastAsia="宋体" w:cs="宋体"/>
                <w:color w:val="000000"/>
                <w:sz w:val="24"/>
                <w:szCs w:val="24"/>
              </w:rPr>
            </w:pPr>
          </w:p>
        </w:tc>
        <w:tc>
          <w:tcPr>
            <w:tcW w:w="1655" w:type="dxa"/>
            <w:shd w:val="clear" w:color="auto" w:fill="auto"/>
            <w:vAlign w:val="center"/>
          </w:tcPr>
          <w:p>
            <w:pPr>
              <w:rPr>
                <w:rFonts w:ascii="宋体" w:hAnsi="宋体" w:eastAsia="宋体" w:cs="宋体"/>
                <w:color w:val="000000"/>
                <w:sz w:val="24"/>
                <w:szCs w:val="24"/>
              </w:rPr>
            </w:pPr>
          </w:p>
        </w:tc>
        <w:tc>
          <w:tcPr>
            <w:tcW w:w="1479" w:type="dxa"/>
            <w:shd w:val="clear" w:color="auto" w:fill="auto"/>
            <w:vAlign w:val="center"/>
          </w:tcPr>
          <w:p>
            <w:pPr>
              <w:rPr>
                <w:rFonts w:ascii="宋体" w:hAnsi="宋体" w:eastAsia="宋体" w:cs="宋体"/>
                <w:color w:val="000000"/>
                <w:sz w:val="24"/>
                <w:szCs w:val="24"/>
              </w:rPr>
            </w:pPr>
          </w:p>
        </w:tc>
        <w:tc>
          <w:tcPr>
            <w:tcW w:w="1655" w:type="dxa"/>
            <w:shd w:val="clear" w:color="auto" w:fill="auto"/>
            <w:vAlign w:val="center"/>
          </w:tcPr>
          <w:p>
            <w:pPr>
              <w:rPr>
                <w:rFonts w:ascii="宋体" w:hAnsi="宋体" w:eastAsia="宋体" w:cs="宋体"/>
                <w:color w:val="000000"/>
                <w:sz w:val="24"/>
                <w:szCs w:val="24"/>
              </w:rPr>
            </w:pPr>
          </w:p>
        </w:tc>
        <w:tc>
          <w:tcPr>
            <w:tcW w:w="2008" w:type="dxa"/>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390" w:hRule="atLeast"/>
        </w:trPr>
        <w:tc>
          <w:tcPr>
            <w:tcW w:w="2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科目编码</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科目名称</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合计</w:t>
            </w:r>
          </w:p>
        </w:tc>
        <w:tc>
          <w:tcPr>
            <w:tcW w:w="36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其中：</w:t>
            </w:r>
          </w:p>
        </w:tc>
      </w:tr>
      <w:tr>
        <w:tblPrEx>
          <w:tblCellMar>
            <w:top w:w="15" w:type="dxa"/>
            <w:left w:w="15" w:type="dxa"/>
            <w:bottom w:w="15" w:type="dxa"/>
            <w:right w:w="15" w:type="dxa"/>
          </w:tblCellMar>
        </w:tblPrEx>
        <w:trPr>
          <w:trHeight w:val="390" w:hRule="atLeast"/>
        </w:trPr>
        <w:tc>
          <w:tcPr>
            <w:tcW w:w="2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基本支出</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项目支出</w:t>
            </w:r>
          </w:p>
        </w:tc>
      </w:tr>
      <w:tr>
        <w:tblPrEx>
          <w:tblCellMar>
            <w:top w:w="15" w:type="dxa"/>
            <w:left w:w="15" w:type="dxa"/>
            <w:bottom w:w="15" w:type="dxa"/>
            <w:right w:w="15" w:type="dxa"/>
          </w:tblCellMar>
        </w:tblPrEx>
        <w:trPr>
          <w:trHeight w:val="390"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2</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15" w:type="dxa"/>
            <w:left w:w="15" w:type="dxa"/>
            <w:bottom w:w="15" w:type="dxa"/>
            <w:right w:w="15" w:type="dxa"/>
          </w:tblCellMar>
        </w:tblPrEx>
        <w:trPr>
          <w:trHeight w:val="390"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223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15" w:type="dxa"/>
            <w:left w:w="15" w:type="dxa"/>
            <w:bottom w:w="15" w:type="dxa"/>
            <w:right w:w="15" w:type="dxa"/>
          </w:tblCellMar>
        </w:tblPrEx>
        <w:trPr>
          <w:trHeight w:val="330" w:hRule="atLeast"/>
        </w:trPr>
        <w:tc>
          <w:tcPr>
            <w:tcW w:w="9027" w:type="dxa"/>
            <w:gridSpan w:val="5"/>
            <w:shd w:val="clear" w:color="auto" w:fill="auto"/>
            <w:vAlign w:val="bottom"/>
          </w:tcPr>
          <w:p>
            <w:pPr>
              <w:widowControl/>
              <w:jc w:val="left"/>
              <w:textAlignment w:val="bottom"/>
              <w:rPr>
                <w:rFonts w:ascii="华文楷体" w:hAnsi="华文楷体" w:eastAsia="华文楷体" w:cs="华文楷体"/>
                <w:color w:val="000000"/>
                <w:sz w:val="22"/>
              </w:rPr>
            </w:pPr>
            <w:r>
              <w:rPr>
                <w:rFonts w:hint="eastAsia" w:ascii="宋体" w:hAnsi="宋体" w:eastAsia="宋体" w:cs="宋体"/>
                <w:color w:val="000000"/>
                <w:kern w:val="0"/>
                <w:sz w:val="20"/>
                <w:szCs w:val="20"/>
              </w:rPr>
              <w:t>备注：本表公开到政府支出功能分类项级科目。</w:t>
            </w: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六、政府性基金拨款支出预算表</w:t>
      </w:r>
    </w:p>
    <w:tbl>
      <w:tblPr>
        <w:tblStyle w:val="6"/>
        <w:tblW w:w="8667" w:type="dxa"/>
        <w:tblInd w:w="0" w:type="dxa"/>
        <w:tblLayout w:type="fixed"/>
        <w:tblCellMar>
          <w:top w:w="15" w:type="dxa"/>
          <w:left w:w="15" w:type="dxa"/>
          <w:bottom w:w="15" w:type="dxa"/>
          <w:right w:w="15" w:type="dxa"/>
        </w:tblCellMar>
      </w:tblPr>
      <w:tblGrid>
        <w:gridCol w:w="1750"/>
        <w:gridCol w:w="2622"/>
        <w:gridCol w:w="1695"/>
        <w:gridCol w:w="1746"/>
        <w:gridCol w:w="854"/>
      </w:tblGrid>
      <w:tr>
        <w:tblPrEx>
          <w:tblCellMar>
            <w:top w:w="15" w:type="dxa"/>
            <w:left w:w="15" w:type="dxa"/>
            <w:bottom w:w="15" w:type="dxa"/>
            <w:right w:w="15" w:type="dxa"/>
          </w:tblCellMar>
        </w:tblPrEx>
        <w:trPr>
          <w:trHeight w:val="525" w:hRule="atLeast"/>
        </w:trPr>
        <w:tc>
          <w:tcPr>
            <w:tcW w:w="8667" w:type="dxa"/>
            <w:gridSpan w:val="5"/>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年度政府性基金拨款支出预算表</w:t>
            </w:r>
          </w:p>
        </w:tc>
      </w:tr>
      <w:tr>
        <w:tblPrEx>
          <w:tblCellMar>
            <w:top w:w="15" w:type="dxa"/>
            <w:left w:w="15" w:type="dxa"/>
            <w:bottom w:w="15" w:type="dxa"/>
            <w:right w:w="15" w:type="dxa"/>
          </w:tblCellMar>
        </w:tblPrEx>
        <w:trPr>
          <w:trHeight w:val="433" w:hRule="atLeast"/>
        </w:trPr>
        <w:tc>
          <w:tcPr>
            <w:tcW w:w="1750" w:type="dxa"/>
            <w:shd w:val="clear" w:color="auto" w:fill="auto"/>
            <w:vAlign w:val="center"/>
          </w:tcPr>
          <w:p>
            <w:pPr>
              <w:rPr>
                <w:rFonts w:ascii="宋体" w:hAnsi="宋体" w:eastAsia="宋体" w:cs="宋体"/>
                <w:color w:val="000000"/>
                <w:sz w:val="24"/>
                <w:szCs w:val="24"/>
              </w:rPr>
            </w:pPr>
          </w:p>
        </w:tc>
        <w:tc>
          <w:tcPr>
            <w:tcW w:w="2622" w:type="dxa"/>
            <w:shd w:val="clear" w:color="auto" w:fill="auto"/>
            <w:vAlign w:val="center"/>
          </w:tcPr>
          <w:p>
            <w:pPr>
              <w:rPr>
                <w:rFonts w:ascii="宋体" w:hAnsi="宋体" w:eastAsia="宋体" w:cs="宋体"/>
                <w:color w:val="000000"/>
                <w:sz w:val="24"/>
                <w:szCs w:val="24"/>
              </w:rPr>
            </w:pPr>
          </w:p>
        </w:tc>
        <w:tc>
          <w:tcPr>
            <w:tcW w:w="1695" w:type="dxa"/>
            <w:shd w:val="clear" w:color="auto" w:fill="auto"/>
            <w:vAlign w:val="center"/>
          </w:tcPr>
          <w:p>
            <w:pPr>
              <w:rPr>
                <w:rFonts w:ascii="宋体" w:hAnsi="宋体" w:eastAsia="宋体" w:cs="宋体"/>
                <w:color w:val="000000"/>
                <w:sz w:val="24"/>
                <w:szCs w:val="24"/>
              </w:rPr>
            </w:pPr>
          </w:p>
        </w:tc>
        <w:tc>
          <w:tcPr>
            <w:tcW w:w="1746" w:type="dxa"/>
            <w:shd w:val="clear" w:color="auto" w:fill="auto"/>
            <w:vAlign w:val="center"/>
          </w:tcPr>
          <w:p>
            <w:pPr>
              <w:rPr>
                <w:rFonts w:ascii="宋体" w:hAnsi="宋体" w:eastAsia="宋体" w:cs="宋体"/>
                <w:color w:val="000000"/>
                <w:sz w:val="24"/>
                <w:szCs w:val="24"/>
              </w:rPr>
            </w:pPr>
          </w:p>
        </w:tc>
        <w:tc>
          <w:tcPr>
            <w:tcW w:w="854" w:type="dxa"/>
            <w:shd w:val="clear" w:color="auto" w:fill="auto"/>
            <w:vAlign w:val="center"/>
          </w:tcPr>
          <w:p>
            <w:pPr>
              <w:widowControl/>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390" w:hRule="atLeast"/>
        </w:trPr>
        <w:tc>
          <w:tcPr>
            <w:tcW w:w="1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科目编码</w:t>
            </w:r>
          </w:p>
        </w:tc>
        <w:tc>
          <w:tcPr>
            <w:tcW w:w="2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科目名称</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合计</w:t>
            </w:r>
          </w:p>
        </w:tc>
        <w:tc>
          <w:tcPr>
            <w:tcW w:w="2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其中：</w:t>
            </w:r>
          </w:p>
        </w:tc>
      </w:tr>
      <w:tr>
        <w:tblPrEx>
          <w:tblCellMar>
            <w:top w:w="15" w:type="dxa"/>
            <w:left w:w="15" w:type="dxa"/>
            <w:bottom w:w="15" w:type="dxa"/>
            <w:right w:w="15" w:type="dxa"/>
          </w:tblCellMar>
        </w:tblPrEx>
        <w:trPr>
          <w:trHeight w:val="390" w:hRule="atLeast"/>
        </w:trPr>
        <w:tc>
          <w:tcPr>
            <w:tcW w:w="1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2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22"/>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基本支出</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项目支出</w:t>
            </w:r>
          </w:p>
        </w:tc>
      </w:tr>
      <w:tr>
        <w:tblPrEx>
          <w:tblCellMar>
            <w:top w:w="15" w:type="dxa"/>
            <w:left w:w="15" w:type="dxa"/>
            <w:bottom w:w="15" w:type="dxa"/>
            <w:right w:w="15" w:type="dxa"/>
          </w:tblCellMar>
        </w:tblPrEx>
        <w:trPr>
          <w:trHeight w:val="39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2</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15" w:type="dxa"/>
            <w:left w:w="15" w:type="dxa"/>
            <w:bottom w:w="15" w:type="dxa"/>
            <w:right w:w="15" w:type="dxa"/>
          </w:tblCellMar>
        </w:tblPrEx>
        <w:trPr>
          <w:trHeight w:val="390" w:hRule="atLeast"/>
        </w:trPr>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rPr>
            </w:pP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2"/>
              </w:rPr>
            </w:pPr>
          </w:p>
        </w:tc>
      </w:tr>
      <w:tr>
        <w:tblPrEx>
          <w:tblCellMar>
            <w:top w:w="15" w:type="dxa"/>
            <w:left w:w="15" w:type="dxa"/>
            <w:bottom w:w="15" w:type="dxa"/>
            <w:right w:w="15" w:type="dxa"/>
          </w:tblCellMar>
        </w:tblPrEx>
        <w:trPr>
          <w:trHeight w:val="360" w:hRule="atLeast"/>
        </w:trPr>
        <w:tc>
          <w:tcPr>
            <w:tcW w:w="7813" w:type="dxa"/>
            <w:gridSpan w:val="4"/>
            <w:shd w:val="clear" w:color="auto" w:fill="auto"/>
            <w:vAlign w:val="bottom"/>
          </w:tcPr>
          <w:p>
            <w:pPr>
              <w:widowControl/>
              <w:jc w:val="left"/>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备注：1.本表公开到政府支出功能分类项级科目。</w:t>
            </w:r>
          </w:p>
        </w:tc>
        <w:tc>
          <w:tcPr>
            <w:tcW w:w="854" w:type="dxa"/>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60" w:hRule="atLeast"/>
        </w:trPr>
        <w:tc>
          <w:tcPr>
            <w:tcW w:w="7813" w:type="dxa"/>
            <w:gridSpan w:val="4"/>
            <w:shd w:val="clear" w:color="auto" w:fill="auto"/>
            <w:vAlign w:val="bottom"/>
          </w:tcPr>
          <w:p>
            <w:pPr>
              <w:widowControl/>
              <w:jc w:val="left"/>
              <w:textAlignment w:val="center"/>
              <w:rPr>
                <w:rFonts w:ascii="宋体" w:hAnsi="宋体" w:eastAsia="宋体" w:cs="宋体"/>
                <w:color w:val="000000"/>
                <w:kern w:val="0"/>
                <w:sz w:val="20"/>
                <w:szCs w:val="20"/>
              </w:rPr>
            </w:pPr>
            <w:r>
              <w:rPr>
                <w:rFonts w:ascii="宋体" w:hAnsi="宋体" w:eastAsia="宋体" w:cs="宋体"/>
                <w:color w:val="000000"/>
                <w:kern w:val="0"/>
                <w:sz w:val="20"/>
                <w:szCs w:val="20"/>
              </w:rPr>
              <w:t xml:space="preserve">      2.</w:t>
            </w:r>
            <w:r>
              <w:rPr>
                <w:rFonts w:hint="eastAsia" w:ascii="宋体" w:hAnsi="宋体" w:eastAsia="宋体" w:cs="宋体"/>
                <w:color w:val="000000"/>
                <w:kern w:val="0"/>
                <w:sz w:val="20"/>
                <w:szCs w:val="20"/>
              </w:rPr>
              <w:t>本单位**年度没有使用政府性基金预算拨款安排的支出。</w:t>
            </w:r>
          </w:p>
        </w:tc>
        <w:tc>
          <w:tcPr>
            <w:tcW w:w="854" w:type="dxa"/>
            <w:shd w:val="clear" w:color="auto" w:fill="auto"/>
            <w:vAlign w:val="center"/>
          </w:tcPr>
          <w:p>
            <w:pPr>
              <w:rPr>
                <w:rFonts w:ascii="宋体" w:hAnsi="宋体" w:eastAsia="宋体" w:cs="宋体"/>
                <w:color w:val="000000"/>
                <w:sz w:val="22"/>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七、一般公共预算支出经济分类情况表</w:t>
      </w:r>
    </w:p>
    <w:tbl>
      <w:tblPr>
        <w:tblStyle w:val="6"/>
        <w:tblW w:w="8336" w:type="dxa"/>
        <w:tblInd w:w="0" w:type="dxa"/>
        <w:tblLayout w:type="fixed"/>
        <w:tblCellMar>
          <w:top w:w="15" w:type="dxa"/>
          <w:left w:w="15" w:type="dxa"/>
          <w:bottom w:w="15" w:type="dxa"/>
          <w:right w:w="15" w:type="dxa"/>
        </w:tblCellMar>
      </w:tblPr>
      <w:tblGrid>
        <w:gridCol w:w="1695"/>
        <w:gridCol w:w="3601"/>
        <w:gridCol w:w="3040"/>
      </w:tblGrid>
      <w:tr>
        <w:tblPrEx>
          <w:tblCellMar>
            <w:top w:w="15" w:type="dxa"/>
            <w:left w:w="15" w:type="dxa"/>
            <w:bottom w:w="15" w:type="dxa"/>
            <w:right w:w="15" w:type="dxa"/>
          </w:tblCellMar>
        </w:tblPrEx>
        <w:trPr>
          <w:trHeight w:val="735" w:hRule="atLeast"/>
        </w:trPr>
        <w:tc>
          <w:tcPr>
            <w:tcW w:w="8336" w:type="dxa"/>
            <w:gridSpan w:val="3"/>
            <w:shd w:val="clear" w:color="auto" w:fill="FFFFFF"/>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年度一般公共预算支出经济分类情况表</w:t>
            </w:r>
          </w:p>
        </w:tc>
      </w:tr>
      <w:tr>
        <w:tblPrEx>
          <w:tblCellMar>
            <w:top w:w="15" w:type="dxa"/>
            <w:left w:w="15" w:type="dxa"/>
            <w:bottom w:w="15" w:type="dxa"/>
            <w:right w:w="15" w:type="dxa"/>
          </w:tblCellMar>
        </w:tblPrEx>
        <w:trPr>
          <w:trHeight w:val="360" w:hRule="atLeast"/>
        </w:trPr>
        <w:tc>
          <w:tcPr>
            <w:tcW w:w="1695" w:type="dxa"/>
            <w:shd w:val="clear" w:color="auto" w:fill="FFFFFF"/>
            <w:vAlign w:val="center"/>
          </w:tcPr>
          <w:p>
            <w:pPr>
              <w:jc w:val="left"/>
              <w:rPr>
                <w:rFonts w:ascii="宋体" w:hAnsi="宋体" w:eastAsia="宋体" w:cs="宋体"/>
                <w:color w:val="000000"/>
                <w:sz w:val="20"/>
                <w:szCs w:val="20"/>
              </w:rPr>
            </w:pPr>
          </w:p>
        </w:tc>
        <w:tc>
          <w:tcPr>
            <w:tcW w:w="3601" w:type="dxa"/>
            <w:shd w:val="clear" w:color="auto" w:fill="auto"/>
            <w:vAlign w:val="bottom"/>
          </w:tcPr>
          <w:p>
            <w:pPr>
              <w:jc w:val="right"/>
              <w:rPr>
                <w:rFonts w:ascii="宋体" w:hAnsi="宋体" w:eastAsia="宋体" w:cs="宋体"/>
                <w:color w:val="000000"/>
                <w:sz w:val="20"/>
                <w:szCs w:val="20"/>
              </w:rPr>
            </w:pPr>
          </w:p>
        </w:tc>
        <w:tc>
          <w:tcPr>
            <w:tcW w:w="3040" w:type="dxa"/>
            <w:shd w:val="clear" w:color="auto" w:fill="FFFFFF"/>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单位：万元</w:t>
            </w:r>
          </w:p>
        </w:tc>
      </w:tr>
      <w:tr>
        <w:tblPrEx>
          <w:tblCellMar>
            <w:top w:w="15" w:type="dxa"/>
            <w:left w:w="15" w:type="dxa"/>
            <w:bottom w:w="15" w:type="dxa"/>
            <w:right w:w="15" w:type="dxa"/>
          </w:tblCellMar>
        </w:tblPrEx>
        <w:trPr>
          <w:trHeight w:val="63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科目编码</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科目名称</w:t>
            </w:r>
          </w:p>
        </w:tc>
        <w:tc>
          <w:tcPr>
            <w:tcW w:w="3040"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r>
      <w:tr>
        <w:tblPrEx>
          <w:tblCellMar>
            <w:top w:w="15" w:type="dxa"/>
            <w:left w:w="15" w:type="dxa"/>
            <w:bottom w:w="15" w:type="dxa"/>
            <w:right w:w="15" w:type="dxa"/>
          </w:tblCellMar>
        </w:tblPrEx>
        <w:trPr>
          <w:trHeight w:val="390" w:hRule="atLeast"/>
        </w:trPr>
        <w:tc>
          <w:tcPr>
            <w:tcW w:w="52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         计</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109.31</w:t>
            </w: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25.3</w:t>
            </w: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2.38</w:t>
            </w: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309</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资本性支出（基本建设）</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311</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对企业补助（基本建设）</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对企业补助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313</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对社会保障基金补助</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r>
        <w:tblPrEx>
          <w:tblCellMar>
            <w:top w:w="15" w:type="dxa"/>
            <w:left w:w="15" w:type="dxa"/>
            <w:bottom w:w="15" w:type="dxa"/>
            <w:right w:w="15" w:type="dxa"/>
          </w:tblCellMar>
        </w:tblPrEx>
        <w:trPr>
          <w:trHeight w:val="390" w:hRule="atLeast"/>
        </w:trPr>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szCs w:val="24"/>
              </w:rPr>
            </w:pPr>
          </w:p>
        </w:tc>
      </w:tr>
    </w:tbl>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八、一般公共预算基本支出经济分类情况表</w:t>
      </w:r>
    </w:p>
    <w:tbl>
      <w:tblPr>
        <w:tblStyle w:val="6"/>
        <w:tblW w:w="8336" w:type="dxa"/>
        <w:tblInd w:w="0" w:type="dxa"/>
        <w:tblLayout w:type="fixed"/>
        <w:tblCellMar>
          <w:top w:w="15" w:type="dxa"/>
          <w:left w:w="15" w:type="dxa"/>
          <w:bottom w:w="15" w:type="dxa"/>
          <w:right w:w="15" w:type="dxa"/>
        </w:tblCellMar>
      </w:tblPr>
      <w:tblGrid>
        <w:gridCol w:w="1692"/>
        <w:gridCol w:w="3544"/>
        <w:gridCol w:w="3100"/>
      </w:tblGrid>
      <w:tr>
        <w:tblPrEx>
          <w:tblCellMar>
            <w:top w:w="15" w:type="dxa"/>
            <w:left w:w="15" w:type="dxa"/>
            <w:bottom w:w="15" w:type="dxa"/>
            <w:right w:w="15" w:type="dxa"/>
          </w:tblCellMar>
        </w:tblPrEx>
        <w:trPr>
          <w:trHeight w:val="675" w:hRule="atLeast"/>
        </w:trPr>
        <w:tc>
          <w:tcPr>
            <w:tcW w:w="8336" w:type="dxa"/>
            <w:gridSpan w:val="3"/>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年度一般公共预算基本支出经济分类情况表</w:t>
            </w:r>
          </w:p>
        </w:tc>
      </w:tr>
      <w:tr>
        <w:tblPrEx>
          <w:tblCellMar>
            <w:top w:w="15" w:type="dxa"/>
            <w:left w:w="15" w:type="dxa"/>
            <w:bottom w:w="15" w:type="dxa"/>
            <w:right w:w="15" w:type="dxa"/>
          </w:tblCellMar>
        </w:tblPrEx>
        <w:trPr>
          <w:trHeight w:val="420" w:hRule="atLeast"/>
        </w:trPr>
        <w:tc>
          <w:tcPr>
            <w:tcW w:w="1692" w:type="dxa"/>
            <w:shd w:val="clear" w:color="auto" w:fill="auto"/>
            <w:vAlign w:val="center"/>
          </w:tcPr>
          <w:p>
            <w:pPr>
              <w:rPr>
                <w:rFonts w:ascii="宋体" w:hAnsi="宋体" w:eastAsia="宋体" w:cs="宋体"/>
                <w:color w:val="000000"/>
                <w:sz w:val="20"/>
                <w:szCs w:val="20"/>
              </w:rPr>
            </w:pPr>
          </w:p>
        </w:tc>
        <w:tc>
          <w:tcPr>
            <w:tcW w:w="6644" w:type="dxa"/>
            <w:gridSpan w:val="2"/>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 编码</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科目名称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r>
      <w:tr>
        <w:tblPrEx>
          <w:tblCellMar>
            <w:top w:w="15" w:type="dxa"/>
            <w:left w:w="15" w:type="dxa"/>
            <w:bottom w:w="15" w:type="dxa"/>
            <w:right w:w="15" w:type="dxa"/>
          </w:tblCellMar>
        </w:tblPrEx>
        <w:trPr>
          <w:trHeight w:val="390" w:hRule="atLeast"/>
        </w:trPr>
        <w:tc>
          <w:tcPr>
            <w:tcW w:w="5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         计</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b/>
                <w:color w:val="000000"/>
                <w:sz w:val="22"/>
              </w:rPr>
              <w:t>111.09</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工资福利支出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b/>
                <w:color w:val="000000"/>
                <w:sz w:val="22"/>
              </w:rPr>
              <w:t>108.71</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基本工资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34.94</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津贴补贴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31.96</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奖金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7.59</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伙食补助费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2.26</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绩效工资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4.8</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机关事业单位基本养老保险缴费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8.43</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职业年金缴费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职工基本医疗保险缴费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6.76</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公务员医疗补助缴费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其他社会保障缴费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住房公积金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11.43</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30114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医疗费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30199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其他工资福利支出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0.54</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商品和服务支出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办公费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印刷费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咨询费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手续费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水费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电费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邮电费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取暖费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物业管理费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差旅费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因公出国（境）费用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维修(护)费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租赁费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会议费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培训费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30218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专用材料费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被装购置费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专用燃料费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劳务费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委托业务费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工会经费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30229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福利费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公务用车运行维护费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30239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30240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税金及附加费用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30299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其他商品和服务支出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对个人和家庭的补助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r>
              <w:rPr>
                <w:rFonts w:hint="eastAsia" w:ascii="宋体" w:hAnsi="宋体" w:eastAsia="宋体" w:cs="宋体"/>
                <w:b/>
                <w:color w:val="000000"/>
                <w:sz w:val="22"/>
              </w:rPr>
              <w:t>2.38</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离休费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退休费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0.24</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退职(役)费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抚恤金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生活补助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救济费</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医疗费补助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助学金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奖励金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个人农业生产补贴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30399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其他对个人和家庭的补助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r>
              <w:rPr>
                <w:rFonts w:hint="eastAsia" w:ascii="宋体" w:hAnsi="宋体" w:eastAsia="宋体" w:cs="宋体"/>
                <w:color w:val="000000"/>
                <w:sz w:val="22"/>
              </w:rPr>
              <w:t>2.14</w:t>
            </w: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债务利息及费用支出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国内债务付息</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国外债务付息</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国内债务发行费用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30704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国外债务发行费用</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资本性支出（基本建设）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房屋建筑物购建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办公设备购置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专用设备购置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基础设施建设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大型修缮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信息网络及软件购置更新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物资储备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公务用车购置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30919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其他交通工具购置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30921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文物和陈列品购置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30922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无形资产购置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30999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其他基本建设支出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资本性支出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房屋建筑物购建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办公设备购置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专用设备购置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基础设施建设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大型修缮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信息网络及软件购置更新</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物资储备</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31009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土地补偿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31010</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安置补助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地上附着物和青苗补偿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r>
              <w:rPr>
                <w:rFonts w:hint="eastAsia" w:ascii="宋体" w:hAnsi="宋体" w:eastAsia="宋体" w:cs="宋体"/>
                <w:color w:val="000000"/>
                <w:sz w:val="22"/>
              </w:rPr>
              <w:t>拆迁补偿</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公务用车购置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31019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其他交通工具购置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文物和陈列品购置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31022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无形资产购置</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31099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其他资本性支出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311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对企业补助（基本建设）</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31101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资本金注入</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31199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312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31201</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资本金注入</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31203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政府投资基金股权投资</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31204</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费用补贴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31205</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利息补贴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31299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其他对企业补助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313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对社会保障基金补助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31302</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对社会保险基金补助</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31303</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补充全国社会保障基金</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399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22"/>
              </w:rPr>
            </w:pPr>
            <w:r>
              <w:rPr>
                <w:rFonts w:hint="eastAsia" w:ascii="宋体" w:hAnsi="宋体" w:eastAsia="宋体" w:cs="宋体"/>
                <w:b/>
                <w:color w:val="000000"/>
                <w:kern w:val="0"/>
                <w:sz w:val="22"/>
              </w:rPr>
              <w:t>其他支出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b/>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39906</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赠与</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39907</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国家赔偿费用支出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39908</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对民间非营利组织和群众性自治组织补贴</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trPr>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39999</w:t>
            </w:r>
          </w:p>
        </w:tc>
        <w:tc>
          <w:tcPr>
            <w:tcW w:w="3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其他支出</w:t>
            </w:r>
          </w:p>
        </w:tc>
        <w:tc>
          <w:tcPr>
            <w:tcW w:w="3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bl>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备注：本表根据预算批复中本单位实际部门经济分类数据公开。</w:t>
      </w:r>
    </w:p>
    <w:p>
      <w:pPr>
        <w:tabs>
          <w:tab w:val="left" w:pos="7513"/>
        </w:tabs>
        <w:adjustRightInd w:val="0"/>
        <w:snapToGrid w:val="0"/>
        <w:spacing w:line="600" w:lineRule="exact"/>
        <w:rPr>
          <w:rFonts w:ascii="仿宋" w:hAnsi="仿宋" w:eastAsia="仿宋"/>
          <w:sz w:val="32"/>
          <w:szCs w:val="32"/>
        </w:rPr>
      </w:pPr>
      <w:r>
        <w:rPr>
          <w:rFonts w:hint="eastAsia" w:ascii="仿宋" w:hAnsi="仿宋" w:eastAsia="仿宋"/>
          <w:sz w:val="32"/>
          <w:szCs w:val="32"/>
        </w:rPr>
        <w:t>九、一般公共预算“三公”经费支出预算表</w:t>
      </w:r>
    </w:p>
    <w:tbl>
      <w:tblPr>
        <w:tblStyle w:val="6"/>
        <w:tblW w:w="8336" w:type="dxa"/>
        <w:jc w:val="center"/>
        <w:tblLayout w:type="fixed"/>
        <w:tblCellMar>
          <w:top w:w="15" w:type="dxa"/>
          <w:left w:w="15" w:type="dxa"/>
          <w:bottom w:w="15" w:type="dxa"/>
          <w:right w:w="15" w:type="dxa"/>
        </w:tblCellMar>
      </w:tblPr>
      <w:tblGrid>
        <w:gridCol w:w="4190"/>
        <w:gridCol w:w="4146"/>
      </w:tblGrid>
      <w:tr>
        <w:tblPrEx>
          <w:tblCellMar>
            <w:top w:w="15" w:type="dxa"/>
            <w:left w:w="15" w:type="dxa"/>
            <w:bottom w:w="15" w:type="dxa"/>
            <w:right w:w="15" w:type="dxa"/>
          </w:tblCellMar>
        </w:tblPrEx>
        <w:trPr>
          <w:trHeight w:val="570" w:hRule="atLeast"/>
          <w:jc w:val="center"/>
        </w:trPr>
        <w:tc>
          <w:tcPr>
            <w:tcW w:w="8336" w:type="dxa"/>
            <w:gridSpan w:val="2"/>
            <w:shd w:val="clear" w:color="auto" w:fill="auto"/>
            <w:vAlign w:val="center"/>
          </w:tcPr>
          <w:p>
            <w:pPr>
              <w:widowControl/>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rPr>
              <w:t>2020</w:t>
            </w:r>
            <w:r>
              <w:rPr>
                <w:rFonts w:ascii="方正小标宋_GBK" w:hAnsi="方正小标宋_GBK" w:eastAsia="方正小标宋_GBK" w:cs="方正小标宋_GBK"/>
                <w:color w:val="000000"/>
                <w:kern w:val="0"/>
                <w:sz w:val="32"/>
                <w:szCs w:val="32"/>
              </w:rPr>
              <w:t>年度一般公共预算“三公”经费支出预算表</w:t>
            </w:r>
          </w:p>
        </w:tc>
      </w:tr>
      <w:tr>
        <w:tblPrEx>
          <w:tblCellMar>
            <w:top w:w="15" w:type="dxa"/>
            <w:left w:w="15" w:type="dxa"/>
            <w:bottom w:w="15" w:type="dxa"/>
            <w:right w:w="15" w:type="dxa"/>
          </w:tblCellMar>
        </w:tblPrEx>
        <w:trPr>
          <w:trHeight w:val="360" w:hRule="atLeast"/>
          <w:jc w:val="center"/>
        </w:trPr>
        <w:tc>
          <w:tcPr>
            <w:tcW w:w="4190" w:type="dxa"/>
            <w:shd w:val="clear" w:color="auto" w:fill="auto"/>
            <w:vAlign w:val="center"/>
          </w:tcPr>
          <w:p>
            <w:pPr>
              <w:rPr>
                <w:rFonts w:ascii="楷体_GB2312" w:hAnsi="宋体" w:eastAsia="楷体_GB2312" w:cs="楷体_GB2312"/>
                <w:color w:val="000000"/>
                <w:sz w:val="24"/>
                <w:szCs w:val="24"/>
              </w:rPr>
            </w:pPr>
          </w:p>
        </w:tc>
        <w:tc>
          <w:tcPr>
            <w:tcW w:w="4146" w:type="dxa"/>
            <w:shd w:val="clear" w:color="auto" w:fill="auto"/>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单位：万元</w:t>
            </w: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项目</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预算数</w:t>
            </w: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合计</w:t>
            </w:r>
          </w:p>
        </w:tc>
        <w:tc>
          <w:tcPr>
            <w:tcW w:w="41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0(本单位无一般公共预算安排的三公经费支出)</w:t>
            </w: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1、因公出国（境）费用</w:t>
            </w:r>
          </w:p>
        </w:tc>
        <w:tc>
          <w:tcPr>
            <w:tcW w:w="4146" w:type="dxa"/>
            <w:vMerge w:val="restart"/>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0"/>
                <w:szCs w:val="20"/>
              </w:rPr>
              <w:t>0(本单位无一般公共预算安排的三公经费支出)</w:t>
            </w: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2、公务接待费</w:t>
            </w:r>
          </w:p>
        </w:tc>
        <w:tc>
          <w:tcPr>
            <w:tcW w:w="414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3、公务用车购置及运行费</w:t>
            </w:r>
          </w:p>
        </w:tc>
        <w:tc>
          <w:tcPr>
            <w:tcW w:w="414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其中：（1）公务用车运行费</w:t>
            </w:r>
          </w:p>
        </w:tc>
        <w:tc>
          <w:tcPr>
            <w:tcW w:w="4146" w:type="dxa"/>
            <w:vMerge w:val="continue"/>
            <w:tcBorders>
              <w:left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390" w:hRule="atLeast"/>
          <w:jc w:val="center"/>
        </w:trPr>
        <w:tc>
          <w:tcPr>
            <w:tcW w:w="4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xml:space="preserve">      （2）公务用车购置费</w:t>
            </w:r>
          </w:p>
        </w:tc>
        <w:tc>
          <w:tcPr>
            <w:tcW w:w="4146" w:type="dxa"/>
            <w:vMerge w:val="continue"/>
            <w:tcBorders>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rPr>
            </w:pPr>
          </w:p>
        </w:tc>
      </w:tr>
      <w:tr>
        <w:tblPrEx>
          <w:tblCellMar>
            <w:top w:w="15" w:type="dxa"/>
            <w:left w:w="15" w:type="dxa"/>
            <w:bottom w:w="15" w:type="dxa"/>
            <w:right w:w="15" w:type="dxa"/>
          </w:tblCellMar>
        </w:tblPrEx>
        <w:trPr>
          <w:trHeight w:val="930" w:hRule="atLeast"/>
          <w:jc w:val="center"/>
        </w:trPr>
        <w:tc>
          <w:tcPr>
            <w:tcW w:w="8336" w:type="dxa"/>
            <w:gridSpan w:val="2"/>
            <w:tcBorders>
              <w:top w:val="single" w:color="000000" w:sz="4" w:space="0"/>
            </w:tcBorders>
            <w:shd w:val="clear" w:color="auto" w:fill="auto"/>
            <w:vAlign w:val="center"/>
          </w:tcPr>
          <w:p>
            <w:pPr>
              <w:widowControl/>
              <w:jc w:val="left"/>
              <w:textAlignment w:val="center"/>
              <w:rPr>
                <w:rFonts w:ascii="华文楷体" w:hAnsi="华文楷体" w:eastAsia="华文楷体" w:cs="华文楷体"/>
                <w:color w:val="000000"/>
                <w:sz w:val="22"/>
              </w:rPr>
            </w:pPr>
            <w:r>
              <w:rPr>
                <w:rFonts w:hint="eastAsia" w:ascii="宋体" w:hAnsi="宋体" w:eastAsia="宋体" w:cs="宋体"/>
                <w:color w:val="000000"/>
                <w:kern w:val="0"/>
                <w:sz w:val="20"/>
                <w:szCs w:val="20"/>
              </w:rPr>
              <w:t>备注：本表不能留空，没有金额必须标零或写无，并备注说明“本单位无一般公共预算安排的三公经费支出”。</w:t>
            </w:r>
          </w:p>
        </w:tc>
      </w:tr>
    </w:tbl>
    <w:p>
      <w:pPr>
        <w:tabs>
          <w:tab w:val="left" w:pos="7513"/>
        </w:tabs>
        <w:adjustRightInd w:val="0"/>
        <w:snapToGrid w:val="0"/>
        <w:spacing w:line="600" w:lineRule="exact"/>
        <w:rPr>
          <w:rFonts w:ascii="仿宋" w:hAnsi="仿宋" w:eastAsia="仿宋"/>
          <w:b/>
          <w:sz w:val="32"/>
          <w:szCs w:val="32"/>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p>
    <w:p>
      <w:pPr>
        <w:pStyle w:val="2"/>
        <w:jc w:val="center"/>
        <w:rPr>
          <w:rFonts w:ascii="黑体" w:hAnsi="黑体" w:eastAsia="黑体"/>
          <w:sz w:val="36"/>
          <w:szCs w:val="36"/>
          <w:lang w:eastAsia="zh-CN"/>
        </w:rPr>
      </w:pPr>
      <w:r>
        <w:rPr>
          <w:rFonts w:hint="eastAsia" w:ascii="黑体" w:hAnsi="黑体" w:eastAsia="黑体"/>
          <w:sz w:val="36"/>
          <w:szCs w:val="36"/>
          <w:lang w:eastAsia="zh-CN"/>
        </w:rPr>
        <w:t>第三部分 2020年度部门预算情况说明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一、预算收支总体情况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按照综合预算的原则，部门所有收入和支出均纳入部门预算管理。2020年,鼓楼区编办部门收入预算为136.99万元，比上年增加19.7万元，主要原因是人员增多，人员及公用支出增加。</w:t>
      </w:r>
      <w:r>
        <w:rPr>
          <w:rFonts w:hint="eastAsia" w:ascii="仿宋" w:hAnsi="仿宋" w:eastAsia="仿宋"/>
          <w:sz w:val="32"/>
          <w:szCs w:val="32"/>
        </w:rPr>
        <w:t>其中：一般公共预算拨款136.99万元，基金预算财政拨款0万元,财政专户拨款0万元,其他收入0万元,单位结余结转资金0万元。相应安排支出预算136.99万元，比上年增加19.7万元，其中：人员支出82.18万元，对个人和家庭补助支出15.11万元，公用支出13.8万元，项目支出25.9万元。</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2020年度一般公共预算拨款支出136.99万元</w:t>
      </w:r>
      <w:r>
        <w:rPr>
          <w:rFonts w:hint="eastAsia" w:ascii="仿宋" w:hAnsi="仿宋" w:eastAsia="仿宋"/>
          <w:sz w:val="32"/>
          <w:szCs w:val="32"/>
        </w:rPr>
        <w:t>，比上年增加19.7万元，主要原因是</w:t>
      </w:r>
      <w:r>
        <w:rPr>
          <w:rFonts w:hint="eastAsia" w:ascii="仿宋" w:hAnsi="仿宋" w:eastAsia="仿宋" w:cs="仿宋_GB2312"/>
          <w:sz w:val="32"/>
          <w:szCs w:val="32"/>
        </w:rPr>
        <w:t>人员增多，人员及公用支出增加，主要支出项目(按项级科目分类统计)包括：</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（一）2013601行政运行（其他共产党事务支出）89.64万元。主要用于编办人员及公用支出。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（二）2013650事业运行（其他共产党事务支出）47.35万元。主要用于鼓楼区机构编制政务中心人员及公用支出。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三、政府性基金预算拨款支出情况</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bCs/>
          <w:sz w:val="32"/>
          <w:szCs w:val="32"/>
        </w:rPr>
        <w:t>2020年度政府性基金支出0万元，与上年持平。本单位2020年度没有使用政府性基金预算拨款安排的支出。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四、财政拨款预算基本支出情况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2020年度财政拨款基本支出2020万元，其中：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97.29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13.8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rPr>
          <w:rFonts w:ascii="仿宋" w:hAnsi="仿宋" w:eastAsia="仿宋"/>
          <w:b/>
          <w:sz w:val="32"/>
          <w:szCs w:val="32"/>
        </w:rPr>
      </w:pPr>
      <w:r>
        <w:rPr>
          <w:rFonts w:hint="eastAsia" w:ascii="仿宋" w:hAnsi="仿宋" w:eastAsia="仿宋"/>
          <w:b/>
          <w:sz w:val="32"/>
          <w:szCs w:val="32"/>
        </w:rPr>
        <w:t>五、一般公共预算“三公”经费支出情况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2020年预算安排0万元</w:t>
      </w:r>
      <w:r>
        <w:rPr>
          <w:rFonts w:hint="eastAsia" w:ascii="仿宋" w:hAnsi="仿宋" w:eastAsia="仿宋" w:cs="宋体"/>
          <w:bCs/>
          <w:sz w:val="32"/>
          <w:szCs w:val="32"/>
        </w:rPr>
        <w:t>与上年持平。</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tabs>
          <w:tab w:val="left" w:pos="7513"/>
        </w:tabs>
        <w:adjustRightInd w:val="0"/>
        <w:snapToGrid w:val="0"/>
        <w:spacing w:line="600" w:lineRule="exact"/>
        <w:ind w:firstLine="640" w:firstLineChars="200"/>
        <w:rPr>
          <w:rFonts w:ascii="仿宋" w:hAnsi="仿宋" w:eastAsia="仿宋" w:cs="仿宋_GB2312"/>
          <w:sz w:val="32"/>
          <w:szCs w:val="32"/>
          <w:highlight w:val="yellow"/>
        </w:rPr>
      </w:pPr>
      <w:r>
        <w:rPr>
          <w:rFonts w:hint="eastAsia" w:ascii="仿宋" w:hAnsi="仿宋" w:eastAsia="仿宋" w:cs="宋体"/>
          <w:kern w:val="0"/>
          <w:sz w:val="32"/>
          <w:szCs w:val="32"/>
        </w:rPr>
        <w:t>2020年预算安排0万元</w:t>
      </w:r>
      <w:r>
        <w:rPr>
          <w:rFonts w:hint="eastAsia" w:ascii="仿宋" w:hAnsi="仿宋" w:eastAsia="仿宋" w:cs="宋体"/>
          <w:bCs/>
          <w:sz w:val="32"/>
          <w:szCs w:val="32"/>
        </w:rPr>
        <w:t>与上年持平。</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2020年预算安排0万元</w:t>
      </w:r>
      <w:r>
        <w:rPr>
          <w:rFonts w:hint="eastAsia" w:ascii="仿宋" w:hAnsi="仿宋" w:eastAsia="仿宋" w:cs="宋体"/>
          <w:bCs/>
          <w:sz w:val="32"/>
          <w:szCs w:val="32"/>
        </w:rPr>
        <w:t>与上年持平。</w:t>
      </w:r>
    </w:p>
    <w:p>
      <w:pPr>
        <w:tabs>
          <w:tab w:val="left" w:pos="7513"/>
        </w:tabs>
        <w:adjustRightInd w:val="0"/>
        <w:snapToGrid w:val="0"/>
        <w:spacing w:line="600" w:lineRule="exact"/>
        <w:ind w:firstLine="643" w:firstLineChars="200"/>
        <w:rPr>
          <w:rFonts w:ascii="仿宋" w:hAnsi="仿宋" w:eastAsia="仿宋" w:cs="宋体"/>
          <w:kern w:val="0"/>
          <w:sz w:val="32"/>
          <w:szCs w:val="32"/>
        </w:rPr>
      </w:pPr>
      <w:r>
        <w:rPr>
          <w:rFonts w:hint="eastAsia" w:ascii="仿宋" w:hAnsi="仿宋" w:eastAsia="仿宋"/>
          <w:b/>
          <w:sz w:val="32"/>
          <w:szCs w:val="32"/>
        </w:rPr>
        <w:t>六</w:t>
      </w:r>
      <w:r>
        <w:rPr>
          <w:rFonts w:hint="eastAsia" w:ascii="仿宋" w:hAnsi="仿宋" w:eastAsia="仿宋" w:cs="宋体"/>
          <w:kern w:val="0"/>
          <w:sz w:val="32"/>
          <w:szCs w:val="32"/>
        </w:rPr>
        <w:t>、预算绩效目标情况</w:t>
      </w:r>
    </w:p>
    <w:p>
      <w:pPr>
        <w:tabs>
          <w:tab w:val="left" w:pos="7513"/>
        </w:tabs>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2020年本单位预算绩效目标情况将另行公开。</w:t>
      </w:r>
    </w:p>
    <w:p>
      <w:pPr>
        <w:spacing w:line="600" w:lineRule="exact"/>
        <w:rPr>
          <w:rFonts w:ascii="仿宋" w:hAnsi="仿宋" w:eastAsia="仿宋"/>
          <w:b/>
          <w:sz w:val="32"/>
          <w:szCs w:val="32"/>
        </w:rPr>
      </w:pPr>
      <w:r>
        <w:rPr>
          <w:rFonts w:hint="eastAsia" w:ascii="仿宋" w:hAnsi="仿宋" w:eastAsia="仿宋"/>
          <w:b/>
          <w:sz w:val="32"/>
          <w:szCs w:val="32"/>
        </w:rPr>
        <w:t>七、其他重要事项说明</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（一）机关运行经费</w:t>
      </w:r>
    </w:p>
    <w:p>
      <w:pPr>
        <w:spacing w:line="600" w:lineRule="exact"/>
        <w:ind w:firstLine="640" w:firstLineChars="200"/>
        <w:rPr>
          <w:rFonts w:ascii="黑体" w:hAnsi="黑体" w:eastAsia="黑体"/>
          <w:color w:val="FF0000"/>
          <w:sz w:val="32"/>
          <w:szCs w:val="32"/>
        </w:rPr>
      </w:pPr>
      <w:r>
        <w:rPr>
          <w:rFonts w:hint="eastAsia" w:ascii="仿宋" w:hAnsi="仿宋" w:eastAsia="仿宋"/>
          <w:sz w:val="32"/>
          <w:szCs w:val="32"/>
        </w:rPr>
        <w:t>2020年鼓楼区委编办部门（含实行公务员管理的事业单位）一般公共预算拨款安排的机关运行经费支出</w:t>
      </w:r>
      <w:r>
        <w:rPr>
          <w:rFonts w:hint="eastAsia" w:ascii="仿宋" w:hAnsi="仿宋" w:eastAsia="仿宋" w:cs="仿宋_GB2312"/>
          <w:kern w:val="0"/>
          <w:sz w:val="32"/>
          <w:szCs w:val="32"/>
        </w:rPr>
        <w:t>7.8</w:t>
      </w:r>
      <w:r>
        <w:rPr>
          <w:rFonts w:hint="eastAsia" w:ascii="仿宋" w:hAnsi="仿宋" w:eastAsia="仿宋"/>
          <w:sz w:val="32"/>
          <w:szCs w:val="32"/>
        </w:rPr>
        <w:t>万元，</w:t>
      </w:r>
      <w:r>
        <w:rPr>
          <w:rFonts w:hint="eastAsia" w:ascii="仿宋" w:hAnsi="仿宋" w:eastAsia="仿宋" w:cs="宋体"/>
          <w:bCs/>
          <w:sz w:val="32"/>
          <w:szCs w:val="32"/>
        </w:rPr>
        <w:t>与上年持平</w:t>
      </w:r>
      <w:r>
        <w:rPr>
          <w:rFonts w:hint="eastAsia" w:ascii="仿宋" w:hAnsi="仿宋" w:eastAsia="仿宋" w:cs="仿宋_GB2312"/>
          <w:sz w:val="32"/>
          <w:szCs w:val="32"/>
        </w:rPr>
        <w:t>。</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2020年鼓楼区委编办部门政府采购预算总额0</w:t>
      </w:r>
      <w:r>
        <w:rPr>
          <w:rFonts w:hint="eastAsia" w:ascii="仿宋" w:hAnsi="仿宋" w:eastAsia="仿宋" w:cs="仿宋_GB2312"/>
          <w:kern w:val="0"/>
          <w:sz w:val="32"/>
          <w:szCs w:val="32"/>
        </w:rPr>
        <w:t>万元，其中：政府购买服务项目</w:t>
      </w:r>
      <w:r>
        <w:rPr>
          <w:rFonts w:hint="eastAsia" w:ascii="仿宋" w:hAnsi="仿宋" w:eastAsia="仿宋"/>
          <w:sz w:val="32"/>
          <w:szCs w:val="32"/>
        </w:rPr>
        <w:t>采购预算额0</w:t>
      </w:r>
      <w:r>
        <w:rPr>
          <w:rFonts w:hint="eastAsia" w:ascii="仿宋" w:hAnsi="仿宋" w:eastAsia="仿宋" w:cs="仿宋_GB2312"/>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截至2020</w:t>
      </w:r>
      <w:r>
        <w:rPr>
          <w:rFonts w:hint="eastAsia" w:ascii="仿宋" w:hAnsi="仿宋" w:eastAsia="仿宋" w:cs="仿宋_GB2312"/>
          <w:kern w:val="0"/>
          <w:sz w:val="32"/>
          <w:szCs w:val="32"/>
        </w:rPr>
        <w:t>年底，</w:t>
      </w:r>
      <w:r>
        <w:rPr>
          <w:rFonts w:hint="eastAsia" w:ascii="仿宋" w:hAnsi="仿宋" w:eastAsia="仿宋"/>
          <w:sz w:val="32"/>
          <w:szCs w:val="32"/>
        </w:rPr>
        <w:t>鼓楼区委编办部门本级及所属的预算单位共有车辆0辆，其中：省部级领导干部用车0辆，一般公务用车0辆，一般执法执勤用车0辆，特种专业技术用车0辆，其他用车0辆。单位价值50万元以上通用设备0</w:t>
      </w:r>
      <w:r>
        <w:rPr>
          <w:rFonts w:hint="eastAsia" w:ascii="仿宋" w:hAnsi="仿宋" w:eastAsia="仿宋" w:cs="仿宋_GB2312"/>
          <w:kern w:val="0"/>
          <w:sz w:val="32"/>
          <w:szCs w:val="32"/>
        </w:rPr>
        <w:t>台（套），</w:t>
      </w:r>
      <w:r>
        <w:rPr>
          <w:rFonts w:hint="eastAsia" w:ascii="仿宋" w:hAnsi="仿宋" w:eastAsia="仿宋"/>
          <w:sz w:val="32"/>
          <w:szCs w:val="32"/>
        </w:rPr>
        <w:t>单位价值100万元以上专用设备0</w:t>
      </w:r>
      <w:r>
        <w:rPr>
          <w:rFonts w:hint="eastAsia" w:ascii="仿宋" w:hAnsi="仿宋" w:eastAsia="仿宋" w:cs="仿宋_GB2312"/>
          <w:kern w:val="0"/>
          <w:sz w:val="32"/>
          <w:szCs w:val="32"/>
        </w:rPr>
        <w:t>台（套）。</w:t>
      </w:r>
    </w:p>
    <w:p>
      <w:pPr>
        <w:ind w:firstLine="640" w:firstLineChars="200"/>
        <w:rPr>
          <w:rFonts w:ascii="仿宋" w:hAnsi="仿宋" w:eastAsia="仿宋" w:cs="仿宋_GB2312"/>
          <w:kern w:val="0"/>
          <w:sz w:val="32"/>
          <w:szCs w:val="32"/>
        </w:rPr>
      </w:pPr>
    </w:p>
    <w:p>
      <w:pPr>
        <w:ind w:firstLine="640" w:firstLineChars="200"/>
        <w:rPr>
          <w:rFonts w:ascii="仿宋" w:hAnsi="仿宋" w:eastAsia="仿宋" w:cs="仿宋_GB2312"/>
          <w:kern w:val="0"/>
          <w:sz w:val="32"/>
          <w:szCs w:val="32"/>
        </w:rPr>
      </w:pPr>
    </w:p>
    <w:p>
      <w:pPr>
        <w:jc w:val="center"/>
        <w:rPr>
          <w:rFonts w:asciiTheme="majorEastAsia" w:hAnsiTheme="majorEastAsia" w:eastAsiaTheme="majorEastAsia"/>
          <w:b/>
          <w:sz w:val="40"/>
        </w:rPr>
      </w:pPr>
      <w:r>
        <w:rPr>
          <w:rFonts w:hint="eastAsia" w:asciiTheme="majorEastAsia" w:hAnsiTheme="majorEastAsia" w:eastAsiaTheme="majorEastAsia"/>
          <w:b/>
          <w:sz w:val="40"/>
        </w:rPr>
        <w:t>第四部分 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一、财政拨款收入：指财政当年拨付的资金。</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等以外的收入。主要是按规定动用的售房收入、存款利息收入等。</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其他收入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不足以安排当年支出的情况下，使用以前年度积累的事业基金（事业单位当年收支相抵后按国家规定提取、用于弥补以后年度收支差额的基金）弥补本年度收支缺口的资金。</w:t>
      </w:r>
    </w:p>
    <w:p>
      <w:pPr>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六、年初结转和结余：指以前年度尚未完成、结转到本年按有关规定继续使用的资金。</w:t>
      </w:r>
    </w:p>
    <w:p>
      <w:pPr>
        <w:pStyle w:val="12"/>
        <w:spacing w:line="600" w:lineRule="exact"/>
        <w:ind w:firstLine="640" w:firstLineChars="200"/>
        <w:rPr>
          <w:rFonts w:hAnsi="仿宋"/>
          <w:sz w:val="32"/>
          <w:szCs w:val="32"/>
        </w:rPr>
      </w:pPr>
      <w:r>
        <w:rPr>
          <w:rFonts w:hint="eastAsia" w:hAnsi="仿宋"/>
          <w:sz w:val="32"/>
          <w:szCs w:val="32"/>
        </w:rPr>
        <w:t>七、结余分配：指事业单位按规定提取的职工福利基金、事业基金和缴纳的所得税，以及建设单位按规定应交回的基本建设竣工项目结余资金。</w:t>
      </w:r>
    </w:p>
    <w:p>
      <w:pPr>
        <w:pStyle w:val="12"/>
        <w:spacing w:line="600" w:lineRule="exact"/>
        <w:ind w:firstLine="640"/>
        <w:rPr>
          <w:rFonts w:hAnsi="仿宋"/>
          <w:sz w:val="32"/>
          <w:szCs w:val="32"/>
        </w:rPr>
      </w:pPr>
      <w:r>
        <w:rPr>
          <w:rFonts w:hint="eastAsia" w:hAnsi="仿宋"/>
          <w:sz w:val="32"/>
          <w:szCs w:val="32"/>
        </w:rPr>
        <w:t>八、年末结转和结余：指本年度或以前年度预算安排、因客观条件发生变化无法按原计划实施，需延迟到以后年度按有关规定继续使用的资金。</w:t>
      </w:r>
    </w:p>
    <w:p>
      <w:pPr>
        <w:pStyle w:val="12"/>
        <w:spacing w:line="600" w:lineRule="exact"/>
        <w:ind w:firstLine="640"/>
        <w:rPr>
          <w:rFonts w:hAnsi="仿宋"/>
          <w:sz w:val="32"/>
          <w:szCs w:val="32"/>
        </w:rPr>
      </w:pPr>
      <w:r>
        <w:rPr>
          <w:rFonts w:hint="eastAsia" w:hAnsi="仿宋"/>
          <w:sz w:val="32"/>
          <w:szCs w:val="32"/>
        </w:rPr>
        <w:t>九、基本支出：指为保障机构正常运转、完成日常工作任务而发生的人员支出和公用支出。</w:t>
      </w:r>
    </w:p>
    <w:p>
      <w:pPr>
        <w:pStyle w:val="12"/>
        <w:spacing w:line="600" w:lineRule="exact"/>
        <w:ind w:firstLine="640"/>
        <w:rPr>
          <w:rFonts w:hAnsi="仿宋"/>
          <w:sz w:val="32"/>
          <w:szCs w:val="32"/>
        </w:rPr>
      </w:pPr>
      <w:r>
        <w:rPr>
          <w:rFonts w:hint="eastAsia" w:hAnsi="仿宋"/>
          <w:sz w:val="32"/>
          <w:szCs w:val="32"/>
        </w:rPr>
        <w:t>十、项目支出：指在基本支出之外为完成特定行政任务和事业发展目标所发生的支出。</w:t>
      </w:r>
    </w:p>
    <w:p>
      <w:pPr>
        <w:pStyle w:val="12"/>
        <w:spacing w:line="600" w:lineRule="exact"/>
        <w:ind w:firstLine="640"/>
        <w:rPr>
          <w:rFonts w:hAnsi="仿宋"/>
          <w:sz w:val="32"/>
          <w:szCs w:val="32"/>
        </w:rPr>
      </w:pPr>
      <w:r>
        <w:rPr>
          <w:rFonts w:hint="eastAsia" w:hAnsi="仿宋"/>
          <w:sz w:val="32"/>
          <w:szCs w:val="32"/>
        </w:rPr>
        <w:t>十一、经营支出：指事业单位在专业业务活动及其辅助活动之外开展非独立核算经营活动发生的支出。</w:t>
      </w:r>
    </w:p>
    <w:p>
      <w:pPr>
        <w:pStyle w:val="12"/>
        <w:spacing w:line="600" w:lineRule="exact"/>
        <w:ind w:firstLine="640"/>
        <w:rPr>
          <w:rFonts w:hAnsi="仿宋"/>
          <w:sz w:val="32"/>
          <w:szCs w:val="32"/>
        </w:rPr>
      </w:pPr>
      <w:r>
        <w:rPr>
          <w:rFonts w:hint="eastAsia" w:hAnsi="仿宋"/>
          <w:sz w:val="32"/>
          <w:szCs w:val="32"/>
        </w:rPr>
        <w:t>十二、</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w:t>
      </w:r>
    </w:p>
    <w:p>
      <w:pPr>
        <w:ind w:firstLine="640" w:firstLineChars="200"/>
        <w:jc w:val="left"/>
      </w:pPr>
      <w:r>
        <w:rPr>
          <w:rFonts w:hint="eastAsia" w:ascii="仿宋" w:hAnsi="仿宋" w:eastAsia="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6780272"/>
    </w:sdtPr>
    <w:sdtContent>
      <w:p>
        <w:pPr>
          <w:pStyle w:val="4"/>
          <w:jc w:val="center"/>
        </w:pPr>
        <w:r>
          <w:fldChar w:fldCharType="begin"/>
        </w:r>
        <w:r>
          <w:instrText xml:space="preserve">PAGE   \* MERGEFORMAT</w:instrText>
        </w:r>
        <w:r>
          <w:fldChar w:fldCharType="separate"/>
        </w:r>
        <w:r>
          <w:rPr>
            <w:lang w:val="zh-CN"/>
          </w:rPr>
          <w:t>17</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17140"/>
    <w:rsid w:val="00134215"/>
    <w:rsid w:val="0014464B"/>
    <w:rsid w:val="00162161"/>
    <w:rsid w:val="0016491E"/>
    <w:rsid w:val="00167378"/>
    <w:rsid w:val="001A49D4"/>
    <w:rsid w:val="00244E2B"/>
    <w:rsid w:val="00247099"/>
    <w:rsid w:val="00317140"/>
    <w:rsid w:val="00353125"/>
    <w:rsid w:val="00445C9B"/>
    <w:rsid w:val="004D696A"/>
    <w:rsid w:val="005B00AC"/>
    <w:rsid w:val="006C4713"/>
    <w:rsid w:val="007244EC"/>
    <w:rsid w:val="00753E47"/>
    <w:rsid w:val="007C60CF"/>
    <w:rsid w:val="008071E4"/>
    <w:rsid w:val="00880C2D"/>
    <w:rsid w:val="009C7FB5"/>
    <w:rsid w:val="00A4118D"/>
    <w:rsid w:val="00A855BE"/>
    <w:rsid w:val="00C02DE3"/>
    <w:rsid w:val="00C7095D"/>
    <w:rsid w:val="00C72451"/>
    <w:rsid w:val="00CC6B40"/>
    <w:rsid w:val="00E05319"/>
    <w:rsid w:val="00E332A8"/>
    <w:rsid w:val="00F424B5"/>
    <w:rsid w:val="00FE6949"/>
    <w:rsid w:val="08E17528"/>
    <w:rsid w:val="08E7546F"/>
    <w:rsid w:val="1367578D"/>
    <w:rsid w:val="292F0FC6"/>
    <w:rsid w:val="2CFC7F40"/>
    <w:rsid w:val="301D2577"/>
    <w:rsid w:val="32E31177"/>
    <w:rsid w:val="3EC77F06"/>
    <w:rsid w:val="40270233"/>
    <w:rsid w:val="416B554C"/>
    <w:rsid w:val="469E55DF"/>
    <w:rsid w:val="4A3A1604"/>
    <w:rsid w:val="4D424BF3"/>
    <w:rsid w:val="5590761F"/>
    <w:rsid w:val="5919743D"/>
    <w:rsid w:val="5BCD1176"/>
    <w:rsid w:val="5E6D6C62"/>
    <w:rsid w:val="60553066"/>
    <w:rsid w:val="6C706FBD"/>
    <w:rsid w:val="70451057"/>
    <w:rsid w:val="74FD58A0"/>
    <w:rsid w:val="78AB42E6"/>
    <w:rsid w:val="7BC64D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3">
    <w:name w:val="Balloon Text"/>
    <w:basedOn w:val="1"/>
    <w:link w:val="11"/>
    <w:unhideWhenUsed/>
    <w:qFormat/>
    <w:uiPriority w:val="99"/>
    <w:pPr>
      <w:spacing w:line="240" w:lineRule="auto"/>
    </w:pPr>
    <w:rPr>
      <w:sz w:val="18"/>
      <w:szCs w:val="18"/>
    </w:rPr>
  </w:style>
  <w:style w:type="paragraph" w:styleId="4">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Times New Roman" w:hAnsi="Times New Roman" w:eastAsia="Times New Roman" w:cs="Times New Roman"/>
      <w:kern w:val="0"/>
      <w:sz w:val="20"/>
      <w:szCs w:val="20"/>
      <w:lang w:eastAsia="en-US"/>
    </w:rPr>
  </w:style>
  <w:style w:type="character" w:customStyle="1" w:styleId="11">
    <w:name w:val="批注框文本 Char"/>
    <w:basedOn w:val="7"/>
    <w:link w:val="3"/>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1276</Words>
  <Characters>7279</Characters>
  <Lines>60</Lines>
  <Paragraphs>17</Paragraphs>
  <TotalTime>15</TotalTime>
  <ScaleCrop>false</ScaleCrop>
  <LinksUpToDate>false</LinksUpToDate>
  <CharactersWithSpaces>8538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Administrator</cp:lastModifiedBy>
  <dcterms:modified xsi:type="dcterms:W3CDTF">2021-11-25T07:01:37Z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C62BB55133C64DEC912B4FB98AA825A8</vt:lpwstr>
  </property>
</Properties>
</file>