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Courier New" w:eastAsia="仿宋_GB2312"/>
          <w:color w:val="000000" w:themeColor="text1"/>
          <w:sz w:val="72"/>
        </w:rPr>
      </w:pPr>
      <w:bookmarkStart w:id="5" w:name="_GoBack"/>
      <w:bookmarkEnd w:id="5"/>
    </w:p>
    <w:p>
      <w:pPr>
        <w:rPr>
          <w:rFonts w:ascii="方正小标宋简体" w:hAnsi="方正小标宋简体" w:eastAsia="方正小标宋简体" w:cs="方正小标宋简体"/>
          <w:bCs/>
          <w:color w:val="000000" w:themeColor="text1"/>
          <w:sz w:val="44"/>
          <w:szCs w:val="44"/>
        </w:rPr>
      </w:pPr>
    </w:p>
    <w:p>
      <w:pPr>
        <w:jc w:val="center"/>
        <w:rPr>
          <w:rFonts w:ascii="方正小标宋简体" w:hAnsi="方正小标宋简体" w:eastAsia="方正小标宋简体" w:cs="方正小标宋简体"/>
          <w:bCs/>
          <w:color w:val="000000" w:themeColor="text1"/>
          <w:sz w:val="72"/>
          <w:szCs w:val="72"/>
        </w:rPr>
      </w:pPr>
      <w:r>
        <w:rPr>
          <w:rFonts w:hint="eastAsia" w:ascii="方正小标宋简体" w:hAnsi="方正小标宋简体" w:eastAsia="方正小标宋简体" w:cs="方正小标宋简体"/>
          <w:bCs/>
          <w:color w:val="000000" w:themeColor="text1"/>
          <w:sz w:val="72"/>
          <w:szCs w:val="72"/>
        </w:rPr>
        <w:t>财政支出项目</w:t>
      </w:r>
    </w:p>
    <w:p>
      <w:pPr>
        <w:jc w:val="center"/>
        <w:rPr>
          <w:rFonts w:ascii="方正小标宋简体" w:hAnsi="方正小标宋简体" w:eastAsia="方正小标宋简体" w:cs="方正小标宋简体"/>
          <w:bCs/>
          <w:color w:val="000000" w:themeColor="text1"/>
          <w:sz w:val="72"/>
          <w:szCs w:val="72"/>
        </w:rPr>
      </w:pPr>
      <w:r>
        <w:rPr>
          <w:rFonts w:hint="eastAsia" w:ascii="方正小标宋简体" w:hAnsi="方正小标宋简体" w:eastAsia="方正小标宋简体" w:cs="方正小标宋简体"/>
          <w:bCs/>
          <w:color w:val="000000" w:themeColor="text1"/>
          <w:sz w:val="72"/>
          <w:szCs w:val="72"/>
        </w:rPr>
        <w:t>绩 效 评 价 报 告</w:t>
      </w:r>
    </w:p>
    <w:p>
      <w:pPr>
        <w:ind w:left="6485" w:leftChars="688" w:hanging="5040" w:hangingChars="700"/>
        <w:jc w:val="center"/>
        <w:rPr>
          <w:rFonts w:ascii="仿宋_GB2312" w:hAnsi="Courier New" w:eastAsia="仿宋_GB2312"/>
          <w:color w:val="000000" w:themeColor="text1"/>
          <w:sz w:val="72"/>
          <w:szCs w:val="72"/>
        </w:rPr>
      </w:pPr>
    </w:p>
    <w:p>
      <w:pPr>
        <w:ind w:left="3965" w:leftChars="688" w:hanging="2520" w:hangingChars="700"/>
        <w:rPr>
          <w:rFonts w:ascii="仿宋_GB2312" w:eastAsia="仿宋_GB2312"/>
          <w:color w:val="000000" w:themeColor="text1"/>
          <w:sz w:val="36"/>
          <w:szCs w:val="36"/>
        </w:rPr>
      </w:pPr>
    </w:p>
    <w:p>
      <w:pPr>
        <w:ind w:firstLine="1080" w:firstLineChars="300"/>
        <w:rPr>
          <w:rFonts w:ascii="仿宋_GB2312" w:eastAsia="仿宋_GB2312"/>
          <w:color w:val="000000" w:themeColor="text1"/>
          <w:sz w:val="36"/>
          <w:szCs w:val="36"/>
        </w:rPr>
      </w:pPr>
      <w:r>
        <w:rPr>
          <w:rFonts w:hint="eastAsia" w:ascii="仿宋_GB2312" w:eastAsia="仿宋_GB2312"/>
          <w:color w:val="000000" w:themeColor="text1"/>
          <w:sz w:val="36"/>
          <w:szCs w:val="36"/>
        </w:rPr>
        <w:t xml:space="preserve">项 目 名 称：临时工工资 </w:t>
      </w:r>
    </w:p>
    <w:p>
      <w:pPr>
        <w:ind w:left="4012" w:leftChars="512" w:hanging="2937" w:hangingChars="816"/>
        <w:rPr>
          <w:rFonts w:ascii="仿宋_GB2312" w:hAnsi="Courier New" w:eastAsia="仿宋_GB2312"/>
          <w:color w:val="000000" w:themeColor="text1"/>
          <w:sz w:val="36"/>
        </w:rPr>
      </w:pPr>
    </w:p>
    <w:p>
      <w:pPr>
        <w:ind w:left="4012" w:leftChars="512" w:hanging="2937" w:hangingChars="816"/>
        <w:rPr>
          <w:rFonts w:ascii="仿宋_GB2312" w:hAnsi="Courier New" w:eastAsia="仿宋_GB2312"/>
          <w:color w:val="000000" w:themeColor="text1"/>
          <w:sz w:val="36"/>
          <w:u w:val="single"/>
        </w:rPr>
      </w:pPr>
      <w:r>
        <w:rPr>
          <w:rFonts w:hint="eastAsia" w:ascii="仿宋_GB2312" w:hAnsi="Courier New" w:eastAsia="仿宋_GB2312"/>
          <w:color w:val="000000" w:themeColor="text1"/>
          <w:sz w:val="36"/>
        </w:rPr>
        <w:t>项目主管部门：福州市鼓楼区投资促进局</w:t>
      </w:r>
    </w:p>
    <w:p>
      <w:pPr>
        <w:ind w:firstLine="1080" w:firstLineChars="300"/>
        <w:rPr>
          <w:rFonts w:ascii="仿宋_GB2312" w:hAnsi="Courier New" w:eastAsia="仿宋_GB2312"/>
          <w:color w:val="000000" w:themeColor="text1"/>
          <w:sz w:val="36"/>
        </w:rPr>
      </w:pPr>
    </w:p>
    <w:p>
      <w:pPr>
        <w:ind w:firstLine="1080" w:firstLineChars="300"/>
        <w:rPr>
          <w:rFonts w:hint="eastAsia" w:ascii="仿宋_GB2312" w:hAnsi="Courier New" w:eastAsia="仿宋_GB2312"/>
          <w:color w:val="000000" w:themeColor="text1"/>
          <w:sz w:val="36"/>
        </w:rPr>
      </w:pPr>
    </w:p>
    <w:p>
      <w:pPr>
        <w:ind w:firstLine="1080" w:firstLineChars="300"/>
        <w:rPr>
          <w:rFonts w:ascii="仿宋_GB2312" w:hAnsi="Courier New" w:eastAsia="仿宋_GB2312"/>
          <w:color w:val="000000" w:themeColor="text1"/>
          <w:sz w:val="36"/>
        </w:rPr>
      </w:pPr>
      <w:r>
        <w:rPr>
          <w:rFonts w:hint="eastAsia" w:ascii="仿宋_GB2312" w:hAnsi="Courier New" w:eastAsia="仿宋_GB2312"/>
          <w:color w:val="000000" w:themeColor="text1"/>
          <w:sz w:val="36"/>
        </w:rPr>
        <w:t>填 报 日 期 ： 2018 年 9月 28日</w:t>
      </w:r>
    </w:p>
    <w:p>
      <w:pPr>
        <w:pStyle w:val="2"/>
        <w:ind w:firstLine="0"/>
        <w:jc w:val="center"/>
        <w:outlineLvl w:val="1"/>
        <w:rPr>
          <w:rFonts w:ascii="仿宋_GB2312" w:hAnsi="宋体" w:eastAsia="仿宋_GB2312"/>
          <w:bCs/>
          <w:color w:val="000000" w:themeColor="text1"/>
          <w:sz w:val="36"/>
          <w:szCs w:val="36"/>
        </w:rPr>
      </w:pPr>
    </w:p>
    <w:p>
      <w:pPr>
        <w:pStyle w:val="2"/>
        <w:ind w:firstLine="0"/>
        <w:jc w:val="center"/>
        <w:outlineLvl w:val="1"/>
        <w:rPr>
          <w:rFonts w:ascii="仿宋_GB2312" w:hAnsi="宋体" w:eastAsia="仿宋_GB2312"/>
          <w:bCs/>
          <w:color w:val="000000" w:themeColor="text1"/>
          <w:sz w:val="36"/>
          <w:szCs w:val="36"/>
        </w:rPr>
      </w:pPr>
    </w:p>
    <w:p>
      <w:pPr>
        <w:pStyle w:val="2"/>
        <w:ind w:firstLine="0"/>
        <w:jc w:val="center"/>
        <w:outlineLvl w:val="1"/>
        <w:rPr>
          <w:rFonts w:ascii="仿宋_GB2312" w:hAnsi="宋体" w:eastAsia="仿宋_GB2312"/>
          <w:b/>
          <w:bCs/>
          <w:color w:val="000000" w:themeColor="text1"/>
          <w:sz w:val="44"/>
          <w:szCs w:val="44"/>
        </w:rPr>
      </w:pPr>
      <w:bookmarkStart w:id="0" w:name="_Toc292267955"/>
      <w:bookmarkStart w:id="1" w:name="_Toc164852992"/>
      <w:bookmarkStart w:id="2" w:name="_Toc161563437"/>
      <w:bookmarkStart w:id="3" w:name="_Toc161544035"/>
      <w:bookmarkStart w:id="4" w:name="_Toc161543345"/>
    </w:p>
    <w:p>
      <w:pPr>
        <w:pStyle w:val="2"/>
        <w:ind w:firstLine="0"/>
        <w:jc w:val="center"/>
        <w:outlineLvl w:val="1"/>
        <w:rPr>
          <w:rFonts w:ascii="仿宋_GB2312" w:hAnsi="宋体" w:eastAsia="仿宋_GB2312"/>
          <w:b/>
          <w:bCs/>
          <w:color w:val="000000" w:themeColor="text1"/>
          <w:sz w:val="44"/>
          <w:szCs w:val="44"/>
        </w:rPr>
      </w:pPr>
    </w:p>
    <w:p>
      <w:pPr>
        <w:pStyle w:val="2"/>
        <w:ind w:firstLine="0"/>
        <w:jc w:val="center"/>
        <w:outlineLvl w:val="1"/>
        <w:rPr>
          <w:rFonts w:ascii="仿宋_GB2312" w:hAnsi="宋体" w:eastAsia="仿宋_GB2312"/>
          <w:b/>
          <w:bCs/>
          <w:color w:val="000000" w:themeColor="text1"/>
          <w:sz w:val="44"/>
          <w:szCs w:val="44"/>
        </w:rPr>
      </w:pPr>
    </w:p>
    <w:p>
      <w:pPr>
        <w:pStyle w:val="2"/>
        <w:ind w:firstLine="0"/>
        <w:jc w:val="center"/>
        <w:outlineLvl w:val="1"/>
        <w:rPr>
          <w:rFonts w:ascii="仿宋_GB2312" w:hAnsi="宋体" w:eastAsia="仿宋_GB2312"/>
          <w:b/>
          <w:bCs/>
          <w:color w:val="000000" w:themeColor="text1"/>
          <w:sz w:val="44"/>
          <w:szCs w:val="44"/>
        </w:rPr>
      </w:pPr>
    </w:p>
    <w:p>
      <w:pPr>
        <w:pStyle w:val="2"/>
        <w:ind w:firstLine="0"/>
        <w:jc w:val="center"/>
        <w:outlineLvl w:val="1"/>
        <w:rPr>
          <w:rFonts w:ascii="仿宋_GB2312" w:hAnsi="宋体" w:eastAsia="仿宋_GB2312"/>
          <w:b/>
          <w:bCs/>
          <w:color w:val="000000" w:themeColor="text1"/>
          <w:sz w:val="44"/>
          <w:szCs w:val="44"/>
        </w:rPr>
      </w:pPr>
    </w:p>
    <w:p>
      <w:pPr>
        <w:pStyle w:val="2"/>
        <w:ind w:firstLine="0"/>
        <w:jc w:val="center"/>
        <w:outlineLvl w:val="1"/>
        <w:rPr>
          <w:rFonts w:ascii="仿宋_GB2312" w:hAnsi="宋体" w:eastAsia="仿宋_GB2312"/>
          <w:b/>
          <w:bCs/>
          <w:color w:val="000000" w:themeColor="text1"/>
          <w:sz w:val="44"/>
          <w:szCs w:val="44"/>
        </w:rPr>
      </w:pPr>
    </w:p>
    <w:p>
      <w:pPr>
        <w:pStyle w:val="2"/>
        <w:ind w:firstLine="0"/>
        <w:jc w:val="center"/>
        <w:outlineLvl w:val="1"/>
        <w:rPr>
          <w:rFonts w:ascii="仿宋_GB2312" w:hAnsi="宋体" w:eastAsia="仿宋_GB2312"/>
          <w:b/>
          <w:bCs/>
          <w:color w:val="000000" w:themeColor="text1"/>
          <w:sz w:val="44"/>
          <w:szCs w:val="44"/>
        </w:rPr>
      </w:pPr>
    </w:p>
    <w:p>
      <w:pPr>
        <w:pStyle w:val="2"/>
        <w:ind w:firstLine="0"/>
        <w:jc w:val="center"/>
        <w:outlineLvl w:val="1"/>
        <w:rPr>
          <w:rFonts w:ascii="仿宋_GB2312" w:hAnsi="宋体" w:eastAsia="仿宋_GB2312"/>
          <w:b/>
          <w:bCs/>
          <w:color w:val="000000" w:themeColor="text1"/>
          <w:sz w:val="44"/>
          <w:szCs w:val="44"/>
        </w:rPr>
      </w:pPr>
    </w:p>
    <w:p>
      <w:pPr>
        <w:pStyle w:val="2"/>
        <w:ind w:firstLine="0"/>
        <w:jc w:val="center"/>
        <w:outlineLvl w:val="1"/>
        <w:rPr>
          <w:rFonts w:ascii="仿宋_GB2312" w:hAnsi="宋体" w:eastAsia="仿宋_GB2312"/>
          <w:b/>
          <w:bCs/>
          <w:color w:val="000000" w:themeColor="text1"/>
          <w:sz w:val="44"/>
          <w:szCs w:val="44"/>
        </w:rPr>
      </w:pPr>
      <w:r>
        <w:rPr>
          <w:rFonts w:hint="eastAsia" w:ascii="仿宋_GB2312" w:hAnsi="宋体" w:eastAsia="仿宋_GB2312"/>
          <w:b/>
          <w:bCs/>
          <w:color w:val="000000" w:themeColor="text1"/>
          <w:sz w:val="44"/>
          <w:szCs w:val="44"/>
        </w:rPr>
        <w:t>目</w:t>
      </w:r>
      <w:bookmarkEnd w:id="0"/>
      <w:bookmarkEnd w:id="1"/>
      <w:bookmarkEnd w:id="2"/>
      <w:bookmarkEnd w:id="3"/>
      <w:bookmarkEnd w:id="4"/>
      <w:r>
        <w:rPr>
          <w:rFonts w:hint="eastAsia" w:ascii="仿宋_GB2312" w:hAnsi="宋体" w:eastAsia="仿宋_GB2312"/>
          <w:b/>
          <w:bCs/>
          <w:color w:val="000000" w:themeColor="text1"/>
          <w:sz w:val="44"/>
          <w:szCs w:val="44"/>
        </w:rPr>
        <w:t xml:space="preserve">              录</w:t>
      </w:r>
    </w:p>
    <w:p>
      <w:pPr>
        <w:pStyle w:val="2"/>
        <w:ind w:firstLine="880" w:firstLineChars="200"/>
        <w:jc w:val="center"/>
        <w:rPr>
          <w:rFonts w:ascii="仿宋_GB2312" w:hAnsi="宋体" w:eastAsia="仿宋_GB2312"/>
          <w:bCs/>
          <w:color w:val="000000" w:themeColor="text1"/>
          <w:sz w:val="44"/>
          <w:szCs w:val="44"/>
        </w:rPr>
      </w:pPr>
    </w:p>
    <w:p>
      <w:pPr>
        <w:rPr>
          <w:rFonts w:ascii="仿宋_GB2312" w:hAnsi="宋体" w:eastAsia="仿宋_GB2312"/>
          <w:b/>
          <w:color w:val="000000" w:themeColor="text1"/>
          <w:sz w:val="28"/>
          <w:szCs w:val="28"/>
        </w:rPr>
      </w:pPr>
    </w:p>
    <w:p>
      <w:pPr>
        <w:rPr>
          <w:rFonts w:ascii="仿宋_GB2312" w:hAnsi="宋体" w:eastAsia="仿宋_GB2312"/>
          <w:color w:val="000000" w:themeColor="text1"/>
          <w:sz w:val="32"/>
          <w:szCs w:val="32"/>
        </w:rPr>
      </w:pPr>
      <w:r>
        <w:rPr>
          <w:rFonts w:hint="eastAsia" w:ascii="仿宋_GB2312" w:hAnsi="宋体" w:eastAsia="仿宋_GB2312"/>
          <w:color w:val="000000" w:themeColor="text1"/>
          <w:sz w:val="28"/>
          <w:szCs w:val="28"/>
        </w:rPr>
        <w:t>（</w:t>
      </w:r>
      <w:r>
        <w:rPr>
          <w:rFonts w:hint="eastAsia" w:ascii="仿宋_GB2312" w:hAnsi="宋体" w:eastAsia="仿宋_GB2312"/>
          <w:color w:val="000000" w:themeColor="text1"/>
          <w:sz w:val="32"/>
          <w:szCs w:val="32"/>
        </w:rPr>
        <w:t>一）临时工工资绩效自评报告</w:t>
      </w:r>
    </w:p>
    <w:p>
      <w:pPr>
        <w:rPr>
          <w:rFonts w:hint="eastAsia" w:ascii="仿宋_GB2312" w:hAnsi="宋体" w:eastAsia="仿宋_GB2312"/>
          <w:color w:val="000000" w:themeColor="text1"/>
          <w:sz w:val="32"/>
          <w:szCs w:val="32"/>
        </w:rPr>
      </w:pPr>
    </w:p>
    <w:p>
      <w:pPr>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（二）临时工工资项目绩效自评表</w:t>
      </w:r>
    </w:p>
    <w:p>
      <w:pPr>
        <w:rPr>
          <w:rFonts w:hint="eastAsia" w:ascii="仿宋_GB2312" w:hAnsi="宋体" w:eastAsia="仿宋_GB2312"/>
          <w:color w:val="000000" w:themeColor="text1"/>
          <w:sz w:val="32"/>
          <w:szCs w:val="32"/>
        </w:rPr>
      </w:pPr>
    </w:p>
    <w:p>
      <w:pPr>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（三）临时工工资绩效评价工作方案</w:t>
      </w:r>
    </w:p>
    <w:p>
      <w:pPr>
        <w:ind w:left="960" w:hanging="960" w:hangingChars="300"/>
        <w:rPr>
          <w:rFonts w:hint="eastAsia" w:ascii="仿宋_GB2312" w:hAnsi="宋体" w:eastAsia="仿宋_GB2312"/>
          <w:color w:val="000000" w:themeColor="text1"/>
          <w:sz w:val="32"/>
          <w:szCs w:val="32"/>
        </w:rPr>
      </w:pPr>
    </w:p>
    <w:p>
      <w:pPr>
        <w:ind w:left="960" w:hanging="960" w:hangingChars="300"/>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（四）鼓楼区投资促进局预算绩效管理领导小组名单</w:t>
      </w:r>
    </w:p>
    <w:p>
      <w:pPr>
        <w:rPr>
          <w:rFonts w:hint="eastAsia" w:ascii="仿宋_GB2312" w:hAnsi="宋体" w:eastAsia="仿宋_GB2312"/>
          <w:color w:val="000000" w:themeColor="text1"/>
          <w:sz w:val="32"/>
          <w:szCs w:val="32"/>
        </w:rPr>
      </w:pPr>
    </w:p>
    <w:p>
      <w:pPr>
        <w:rPr>
          <w:rFonts w:ascii="仿宋_GB2312" w:hAnsi="宋体" w:eastAsia="仿宋_GB2312"/>
          <w:color w:val="000000" w:themeColor="text1"/>
          <w:sz w:val="32"/>
          <w:szCs w:val="32"/>
        </w:rPr>
      </w:pPr>
      <w:r>
        <w:rPr>
          <w:rFonts w:hint="eastAsia" w:ascii="仿宋_GB2312" w:hAnsi="宋体" w:eastAsia="仿宋_GB2312"/>
          <w:color w:val="000000" w:themeColor="text1"/>
          <w:sz w:val="32"/>
          <w:szCs w:val="32"/>
        </w:rPr>
        <w:t>（五）临时工工资佐证材料清单</w:t>
      </w:r>
    </w:p>
    <w:p>
      <w:pPr>
        <w:rPr>
          <w:rFonts w:ascii="仿宋_GB2312" w:eastAsia="仿宋_GB2312"/>
          <w:color w:val="000000" w:themeColor="text1"/>
          <w:sz w:val="32"/>
          <w:szCs w:val="32"/>
        </w:rPr>
      </w:pPr>
    </w:p>
    <w:p>
      <w:pPr>
        <w:rPr>
          <w:rFonts w:ascii="仿宋_GB2312" w:eastAsia="仿宋_GB2312"/>
          <w:color w:val="000000" w:themeColor="text1"/>
        </w:rPr>
      </w:pPr>
    </w:p>
    <w:p>
      <w:pPr>
        <w:rPr>
          <w:rFonts w:ascii="仿宋_GB2312" w:eastAsia="仿宋_GB2312"/>
          <w:color w:val="000000" w:themeColor="text1"/>
        </w:rPr>
      </w:pPr>
    </w:p>
    <w:p>
      <w:pPr>
        <w:rPr>
          <w:rFonts w:ascii="仿宋_GB2312" w:eastAsia="仿宋_GB2312"/>
          <w:color w:val="000000" w:themeColor="text1"/>
        </w:rPr>
      </w:pPr>
    </w:p>
    <w:p>
      <w:pPr>
        <w:rPr>
          <w:rFonts w:ascii="仿宋_GB2312" w:eastAsia="仿宋_GB2312"/>
          <w:color w:val="000000" w:themeColor="text1"/>
        </w:rPr>
      </w:pPr>
    </w:p>
    <w:p>
      <w:pPr>
        <w:rPr>
          <w:rFonts w:ascii="仿宋_GB2312" w:eastAsia="仿宋_GB2312"/>
          <w:color w:val="000000" w:themeColor="text1"/>
        </w:rPr>
      </w:pPr>
    </w:p>
    <w:p>
      <w:pPr>
        <w:rPr>
          <w:rFonts w:ascii="仿宋_GB2312" w:eastAsia="仿宋_GB2312"/>
          <w:color w:val="000000" w:themeColor="text1"/>
        </w:rPr>
      </w:pPr>
    </w:p>
    <w:p>
      <w:pPr>
        <w:rPr>
          <w:rFonts w:ascii="仿宋_GB2312" w:eastAsia="仿宋_GB2312"/>
          <w:color w:val="000000" w:themeColor="text1"/>
        </w:rPr>
      </w:pPr>
    </w:p>
    <w:p>
      <w:pPr>
        <w:rPr>
          <w:rFonts w:ascii="仿宋_GB2312" w:eastAsia="仿宋_GB2312"/>
          <w:color w:val="000000" w:themeColor="text1"/>
        </w:rPr>
      </w:pPr>
    </w:p>
    <w:p>
      <w:pPr>
        <w:rPr>
          <w:rFonts w:ascii="仿宋_GB2312" w:eastAsia="仿宋_GB2312"/>
          <w:color w:val="000000" w:themeColor="text1"/>
        </w:rPr>
      </w:pPr>
    </w:p>
    <w:p>
      <w:pPr>
        <w:rPr>
          <w:rFonts w:ascii="仿宋_GB2312" w:eastAsia="仿宋_GB2312"/>
          <w:color w:val="000000" w:themeColor="text1"/>
        </w:rPr>
      </w:pPr>
    </w:p>
    <w:p>
      <w:pPr>
        <w:rPr>
          <w:rFonts w:ascii="仿宋_GB2312" w:eastAsia="仿宋_GB2312"/>
          <w:color w:val="000000" w:themeColor="text1"/>
        </w:rPr>
      </w:pPr>
    </w:p>
    <w:p>
      <w:pPr>
        <w:rPr>
          <w:rFonts w:ascii="仿宋_GB2312" w:eastAsia="仿宋_GB2312"/>
          <w:color w:val="000000" w:themeColor="text1"/>
        </w:rPr>
      </w:pPr>
    </w:p>
    <w:p>
      <w:pPr>
        <w:jc w:val="center"/>
        <w:rPr>
          <w:rFonts w:ascii="方正小标宋简体" w:eastAsia="方正小标宋简体"/>
          <w:color w:val="000000" w:themeColor="text1"/>
          <w:sz w:val="44"/>
          <w:szCs w:val="44"/>
        </w:rPr>
      </w:pPr>
      <w:r>
        <w:rPr>
          <w:rFonts w:hint="eastAsia" w:ascii="方正小标宋简体" w:eastAsia="方正小标宋简体"/>
          <w:color w:val="000000" w:themeColor="text1"/>
          <w:sz w:val="44"/>
          <w:szCs w:val="44"/>
        </w:rPr>
        <w:t>2017年度临时工工资绩效评价自评报告</w:t>
      </w:r>
    </w:p>
    <w:p>
      <w:pPr>
        <w:spacing w:line="600" w:lineRule="exact"/>
        <w:jc w:val="center"/>
        <w:rPr>
          <w:rFonts w:ascii="仿宋_GB2312" w:eastAsia="仿宋_GB2312"/>
          <w:color w:val="000000" w:themeColor="text1"/>
          <w:sz w:val="36"/>
          <w:szCs w:val="36"/>
        </w:rPr>
      </w:pPr>
    </w:p>
    <w:p>
      <w:pPr>
        <w:spacing w:line="600" w:lineRule="exact"/>
        <w:ind w:firstLine="643" w:firstLineChars="200"/>
        <w:rPr>
          <w:rFonts w:ascii="仿宋" w:hAnsi="仿宋" w:eastAsia="仿宋"/>
          <w:b/>
          <w:color w:val="000000" w:themeColor="text1"/>
          <w:sz w:val="32"/>
          <w:szCs w:val="32"/>
        </w:rPr>
      </w:pPr>
      <w:r>
        <w:rPr>
          <w:rFonts w:hint="eastAsia" w:ascii="仿宋" w:hAnsi="仿宋" w:eastAsia="仿宋"/>
          <w:b/>
          <w:color w:val="000000" w:themeColor="text1"/>
          <w:sz w:val="32"/>
          <w:szCs w:val="32"/>
        </w:rPr>
        <w:t>一、项目总体情况</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福州市鼓楼区投促局是主管我区招商引资、金融服务的政府部门。投促局本级2017年末在编在岗10人，其中行政编4人、事业6。鉴于工作任务繁重，人手不足，我局录用3名劳务派遣人员承担辅助工作，工作岗位为办公室行政人员、财务人员。</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本次绩效评价的项目名称为临时工工资。本项目2017年度预算批复10.5万元，当年实际到位10.5万元，支出10.23万元。用于聘请3名临时人员，协助开展各项工作，本年度已及时、足额发放临时人员的工资和医社保。</w:t>
      </w:r>
    </w:p>
    <w:p>
      <w:pPr>
        <w:spacing w:line="600" w:lineRule="exact"/>
        <w:ind w:firstLine="643" w:firstLineChars="200"/>
        <w:rPr>
          <w:rFonts w:ascii="仿宋_GB2312" w:hAnsi="仿宋_GB2312" w:eastAsia="仿宋_GB2312" w:cs="仿宋_GB2312"/>
          <w:b/>
          <w:color w:val="000000" w:themeColor="text1"/>
          <w:sz w:val="32"/>
          <w:szCs w:val="32"/>
        </w:rPr>
      </w:pPr>
      <w:r>
        <w:rPr>
          <w:rFonts w:hint="eastAsia" w:ascii="仿宋_GB2312" w:hAnsi="仿宋_GB2312" w:eastAsia="仿宋_GB2312" w:cs="仿宋_GB2312"/>
          <w:b/>
          <w:color w:val="000000" w:themeColor="text1"/>
          <w:sz w:val="32"/>
          <w:szCs w:val="32"/>
        </w:rPr>
        <w:t>二、项目绩效评价结论</w:t>
      </w:r>
    </w:p>
    <w:p>
      <w:pPr>
        <w:spacing w:line="600" w:lineRule="exact"/>
        <w:ind w:firstLine="643" w:firstLineChars="200"/>
        <w:rPr>
          <w:rFonts w:ascii="仿宋_GB2312" w:hAnsi="仿宋_GB2312" w:eastAsia="仿宋_GB2312" w:cs="仿宋_GB2312"/>
          <w:b/>
          <w:color w:val="000000" w:themeColor="text1"/>
          <w:sz w:val="32"/>
          <w:szCs w:val="32"/>
        </w:rPr>
      </w:pPr>
      <w:r>
        <w:rPr>
          <w:rFonts w:hint="eastAsia" w:ascii="仿宋_GB2312" w:hAnsi="仿宋_GB2312" w:eastAsia="仿宋_GB2312" w:cs="仿宋_GB2312"/>
          <w:b/>
          <w:color w:val="000000" w:themeColor="text1"/>
          <w:sz w:val="32"/>
          <w:szCs w:val="32"/>
        </w:rPr>
        <w:t>（一）项目绩效自评得分及等级</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项目绩效评价得分82.1分，等级为良好。</w:t>
      </w:r>
    </w:p>
    <w:p>
      <w:pPr>
        <w:spacing w:line="600" w:lineRule="exact"/>
        <w:ind w:firstLine="643" w:firstLineChars="200"/>
        <w:rPr>
          <w:rFonts w:ascii="仿宋_GB2312" w:hAnsi="仿宋_GB2312" w:eastAsia="仿宋_GB2312" w:cs="仿宋_GB2312"/>
          <w:b/>
          <w:color w:val="000000" w:themeColor="text1"/>
          <w:sz w:val="32"/>
          <w:szCs w:val="32"/>
        </w:rPr>
      </w:pPr>
      <w:r>
        <w:rPr>
          <w:rFonts w:hint="eastAsia" w:ascii="仿宋_GB2312" w:hAnsi="仿宋_GB2312" w:eastAsia="仿宋_GB2312" w:cs="仿宋_GB2312"/>
          <w:b/>
          <w:color w:val="000000" w:themeColor="text1"/>
          <w:sz w:val="32"/>
          <w:szCs w:val="32"/>
        </w:rPr>
        <w:t>（二）项目期初绩效目标实现情况分析</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本项目期初设置绩效目标3个，实际完成3个，具体情况如下：</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1.投入-成本目标-预算执行率-100%，实际完97.45%。</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2.产出-数量目标-委托公司1家，实际委托公司1家。</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3.效益-社会效益目标-年末就业人数-3人，实际3人。</w:t>
      </w:r>
    </w:p>
    <w:p>
      <w:pPr>
        <w:spacing w:line="600" w:lineRule="exact"/>
        <w:ind w:firstLine="643" w:firstLineChars="200"/>
        <w:rPr>
          <w:rFonts w:ascii="仿宋_GB2312" w:hAnsi="仿宋_GB2312" w:eastAsia="仿宋_GB2312" w:cs="仿宋_GB2312"/>
          <w:b/>
          <w:color w:val="000000" w:themeColor="text1"/>
          <w:kern w:val="0"/>
          <w:sz w:val="32"/>
          <w:szCs w:val="32"/>
        </w:rPr>
      </w:pPr>
      <w:r>
        <w:rPr>
          <w:rFonts w:hint="eastAsia" w:ascii="仿宋_GB2312" w:hAnsi="仿宋_GB2312" w:eastAsia="仿宋_GB2312" w:cs="仿宋_GB2312"/>
          <w:b/>
          <w:color w:val="000000" w:themeColor="text1"/>
          <w:kern w:val="0"/>
          <w:sz w:val="32"/>
          <w:szCs w:val="32"/>
        </w:rPr>
        <w:t>（三）项目实施过程中存在的问题和改进建议</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1.存在问题</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年初预算目标编制不够完善，不全面，未能充分反映项目专业特点的“产出与效益”类个性指标。在项目实施过程中未及时针对项目开展情况进行自查。</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2.改进建议</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（1）优化审批程序，强化流程管理，确保支出及时有序。</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（2）加强项目执行过程监控，掌握项目进展情况，在编制下一年度预算时对本年度结余结转情况做出合理预测，提高预算编报准确率。</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（3）年初做好项目支出整体规划，将日常支出的大类进行划分，提高资金使用准确率。</w:t>
      </w:r>
    </w:p>
    <w:p>
      <w:pPr>
        <w:spacing w:line="600" w:lineRule="exact"/>
        <w:ind w:firstLine="472" w:firstLineChars="147"/>
        <w:rPr>
          <w:rFonts w:ascii="仿宋_GB2312" w:hAnsi="仿宋_GB2312" w:eastAsia="仿宋_GB2312" w:cs="仿宋_GB2312"/>
          <w:b/>
          <w:color w:val="000000" w:themeColor="text1"/>
          <w:kern w:val="0"/>
          <w:sz w:val="32"/>
          <w:szCs w:val="32"/>
        </w:rPr>
      </w:pPr>
      <w:r>
        <w:rPr>
          <w:rFonts w:hint="eastAsia" w:ascii="仿宋_GB2312" w:hAnsi="仿宋_GB2312" w:eastAsia="仿宋_GB2312" w:cs="仿宋_GB2312"/>
          <w:b/>
          <w:color w:val="000000" w:themeColor="text1"/>
          <w:kern w:val="0"/>
          <w:sz w:val="32"/>
          <w:szCs w:val="32"/>
        </w:rPr>
        <w:t>（四）绩效评价指标得分具体分析</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1.投入类共性指标分值18分，得分15.7分，其中：</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（1）时效情况-目标完成率</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评分标准：分值6分，目标完成率A=目标实际完成数量/期初目标编制数量,得分为6×A。</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实际情况：目标完成率=3个/2个=67%。</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得分：6×67%=4分。</w:t>
      </w:r>
    </w:p>
    <w:p>
      <w:pPr>
        <w:numPr>
          <w:ilvl w:val="0"/>
          <w:numId w:val="1"/>
        </w:num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支出情况-预算执行率</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评分标准：分值6分，预算执行率B=当年预算对应的实际支出资金/当年度部门预算批复数×100%，B=100%时得6分，B＜100%时得分为6×B。</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实际情况：预算执行率=10.5万元/10.23万元=97.43%</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得分：6×97.43%=5.85分。</w:t>
      </w:r>
    </w:p>
    <w:p>
      <w:pPr>
        <w:numPr>
          <w:ilvl w:val="0"/>
          <w:numId w:val="1"/>
        </w:num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支出情况-资金使用率</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评分标准：分值6分，资金使用率C=当年预算对应的实际支出资金/财政部门核定额度数×100%，得分为6×C。“财政部门核拨数”为0时，本项不得分。</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实际情况：资金使用率=10.5万元/10.23万元=97.45%</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得分：6×97.45%=5.85分。</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2.过程管理类共性指标分值46分，得分30.9分，其中：</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（1）绩效管理-预算绩效管理组织保障</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评分标准：分值6分，主管部门成立以主要领导或分管领导为组长的预算绩效管理领导小组得3分；项目单位按财政部门年度评价方案要求成立评价工作组得3分。</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实际情况：成立了预算绩效管理领导小组，组长为游争先主任；成立了评价工作组，工作组成员均为副股级以上或具备中级职称。</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得分：3+3=6分。</w:t>
      </w:r>
    </w:p>
    <w:p>
      <w:p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（2）绩效管理-目标编制数量</w:t>
      </w:r>
    </w:p>
    <w:p>
      <w:p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评分标准：分值3分，期初每编制一个绩效目标得0.3分，本项最高3分。</w:t>
      </w:r>
    </w:p>
    <w:p>
      <w:p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实际情况：期初编制3个绩效目标。</w:t>
      </w:r>
    </w:p>
    <w:p>
      <w:p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得分：3×0.3=0.9分。</w:t>
      </w:r>
    </w:p>
    <w:p>
      <w:p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（3）绩效管理-目标个性化程度</w:t>
      </w:r>
    </w:p>
    <w:p>
      <w:p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评分标准：分值5分，编制充分反映项目专业特点的“产出与效益”类个性指标的，每1个个性指标得0.5分，本项最高5分。</w:t>
      </w:r>
    </w:p>
    <w:p>
      <w:p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实际情况：期初编制3个产出与效益类目标。</w:t>
      </w:r>
    </w:p>
    <w:p>
      <w:p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得分：2×0.5=1分。</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（4）绩效管理-目标全面程度</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评分标准：分值5分，编制的绩效目标全面涵盖投入、产出、效益三类10种目标得5分，不满10种的按比例计分。（如期初编制三类5种目标，得分为5×5/10=2.5分）</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实际情况：期初编制三类3种目标。</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得分：3/10×5=1.5分。</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（5）绩效管理-目标完成质量</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评分标准：分值6分，目标完成质量D=所有期初绩效目标完成程度的算术平均值，得分为6×D。</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实际情况：目标完成质量=（100%+100%+100%）/3=100%。</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得分：6×100%=6分。</w:t>
      </w:r>
    </w:p>
    <w:p>
      <w:pPr>
        <w:numPr>
          <w:ilvl w:val="0"/>
          <w:numId w:val="2"/>
        </w:num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绩效管理-预算执行监控情况</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评分标准：分值5分，项目单位开展预算执行监控并按要求填报监控表和监控报告得5分，否则不得分。</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实际情况：开展预算执行监控并按要求填报监控表和监控报告。</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得分：5分</w:t>
      </w:r>
    </w:p>
    <w:p>
      <w:pPr>
        <w:numPr>
          <w:ilvl w:val="0"/>
          <w:numId w:val="2"/>
        </w:num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绩效管理-预算执行监控情况</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评分标准：分值2分，项目列入财政重点监控名单并按要求填报监控表和监控报告得2分，否则不得分。</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实际情况：项目按要求填报监控表和监控报告。</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得分：2分</w:t>
      </w:r>
    </w:p>
    <w:p>
      <w:pPr>
        <w:numPr>
          <w:ilvl w:val="0"/>
          <w:numId w:val="2"/>
        </w:num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项目管理-项目管理制度健全性</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2分，项目单位独立或会同其他单位共同制定项目相关管理制度得2分（制度应包含但不局限于项目范围管理、资金分配管理、进度管理、成本管理、质量管理、风险管理、采购管理、项目中止管理等内容），否则不得分。</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实际情况：我局制定了《鼓楼区投促局合同管理制度（试行）》、《鼓楼区投促局采购管理制度（试行）》、《鼓楼区投促局资产管理制度（试行）》等制度。</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得分：2分</w:t>
      </w:r>
    </w:p>
    <w:p>
      <w:pPr>
        <w:numPr>
          <w:ilvl w:val="0"/>
          <w:numId w:val="2"/>
        </w:num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项目管理-项目管理制度执行有效性</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评分标准：分值2分，项目管理符合相关项目管理制度得2分，有1处不符合扣0.5分，扣完为止。无项目管理制度此项不得分。</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 xml:space="preserve">实际情况：我局严格执行已制定的相关制度。 </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得分：2分</w:t>
      </w:r>
    </w:p>
    <w:p>
      <w:pPr>
        <w:numPr>
          <w:ilvl w:val="0"/>
          <w:numId w:val="2"/>
        </w:num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项目管理-财务管理制度健全性</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 xml:space="preserve">评分标准：分值2分，项目单位独立或会同其他单位共同制定项目资金管理办法得2分（办法应包含但不局限于资金使用范围、参与者职责、风险防控等内容），否则不得分。 </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实际情况：我局制定了《鼓楼区投促局收入支出管理制度（试行）》、《鼓楼区投促局预算管理制度（试行）》等财务制度。</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得分：2分</w:t>
      </w:r>
    </w:p>
    <w:p>
      <w:pPr>
        <w:numPr>
          <w:ilvl w:val="0"/>
          <w:numId w:val="2"/>
        </w:num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项目管理-财务管理制度执行有效性</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评分标准：分值2分，资金管理符合相关项目资金管理办法得2分，有1处不符合扣0.5分，扣完为止。无资金管理办法此项不得分。</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实际情况：我局严格执行国家及财务部门制度的各项财务制度，并结合本单位情况进一步细化并落实到位。</w:t>
      </w:r>
    </w:p>
    <w:p>
      <w:pPr>
        <w:spacing w:line="600" w:lineRule="exact"/>
        <w:ind w:firstLine="64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得分：2分</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3.绩效自评个性指标分值36分，得分36分，其中：</w:t>
      </w:r>
    </w:p>
    <w:p>
      <w:pPr>
        <w:spacing w:line="600" w:lineRule="exact"/>
        <w:rPr>
          <w:rFonts w:hint="eastAsia"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（1）产出与效益-产出数量-委托公司</w:t>
      </w:r>
    </w:p>
    <w:p>
      <w:pPr>
        <w:spacing w:line="600" w:lineRule="exact"/>
        <w:rPr>
          <w:rFonts w:hint="eastAsia"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评分标准：分值6分，实际完成值优于或达到预设值1家人（期初绩效目标值大于等于1家）得满分，未完成预设值时得分为：指标分值×（实际完成值/预设值）。</w:t>
      </w:r>
    </w:p>
    <w:p>
      <w:pPr>
        <w:spacing w:line="600" w:lineRule="exact"/>
        <w:rPr>
          <w:rFonts w:hint="eastAsia"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实际情况：委托公司1家</w:t>
      </w:r>
    </w:p>
    <w:p>
      <w:pPr>
        <w:spacing w:line="600" w:lineRule="exact"/>
        <w:rPr>
          <w:rFonts w:hint="eastAsia"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得分：委托公司1家=期初目标1家，得6</w:t>
      </w:r>
    </w:p>
    <w:p>
      <w:pPr>
        <w:spacing w:line="600" w:lineRule="exact"/>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（2）产出与效益-产出数量-发放对象吻合</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评分标准：分值6分，实际完成值优于或达到预设值3人（期初绩效目标值大于等于3人）得满分，未完成预设值时得分为：指标分值×（实际完成值/预设值）。</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 xml:space="preserve">实际情况：支付对象3人 </w:t>
      </w:r>
    </w:p>
    <w:p>
      <w:pPr>
        <w:spacing w:line="600" w:lineRule="exact"/>
        <w:ind w:firstLine="645"/>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得分：支付对象3人=期初目标3人，得6分</w:t>
      </w:r>
    </w:p>
    <w:p>
      <w:pPr>
        <w:spacing w:line="600" w:lineRule="exact"/>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（3）产出与效益-经济效益-辅助开展招商推荐会</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评分标准：分值6分，实际完成值优于或达到预设值5场（期初绩效目标值：大于等于5场）得满分，未完成预设值时得分为：指标分值×（实际完成值/预设值）。</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实际情况：2017年我局一共开张招商推介等活动5场</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得分：开展推介会5场 =期初目标5场，得6分。</w:t>
      </w:r>
    </w:p>
    <w:p>
      <w:pPr>
        <w:spacing w:line="600" w:lineRule="exact"/>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 xml:space="preserve">（4）产出与效益-社会效益-年末就业人数 </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评分标准：分值6分，实际完成值优于或达到预设值3人（期初绩效目标值：3人）得满分，未完成预设值时得分为：指标分值×（实际完成值/预设值）。</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 xml:space="preserve">实际情况：年末就业人数3人 </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得分：年末就业人数3人=期初目标3人，得6分。</w:t>
      </w:r>
    </w:p>
    <w:p>
      <w:pPr>
        <w:spacing w:line="600" w:lineRule="exact"/>
        <w:rPr>
          <w:rFonts w:hint="eastAsia"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(5) 产出与效益-可持续效益-减轻在职人员工作压力</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评分标准：分值6分，实际完成值优于或达到预设值100%（期初绩效目标值：100%）得满分，未完成预设值时得分为：指标分值×（实际完成值/预设值）。</w:t>
      </w:r>
    </w:p>
    <w:p>
      <w:pPr>
        <w:spacing w:line="600" w:lineRule="exact"/>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 xml:space="preserve">  实际情况：临时工</w:t>
      </w:r>
      <w:r>
        <w:rPr>
          <w:rFonts w:hint="eastAsia" w:ascii="仿宋_GB2312" w:hAnsi="仿宋_GB2312" w:eastAsia="仿宋_GB2312" w:cs="仿宋_GB2312"/>
          <w:color w:val="000000" w:themeColor="text1"/>
          <w:sz w:val="32"/>
          <w:szCs w:val="32"/>
        </w:rPr>
        <w:t>工作岗位为办公室行政、财务等工作岗位</w:t>
      </w:r>
      <w:r>
        <w:rPr>
          <w:rFonts w:hint="eastAsia" w:ascii="仿宋_GB2312" w:hAnsi="仿宋_GB2312" w:eastAsia="仿宋_GB2312" w:cs="仿宋_GB2312"/>
          <w:color w:val="000000" w:themeColor="text1"/>
          <w:kern w:val="0"/>
          <w:sz w:val="32"/>
          <w:szCs w:val="32"/>
        </w:rPr>
        <w:t>，从而减轻在职干部的工作压力。</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得分：得6分。</w:t>
      </w:r>
    </w:p>
    <w:p>
      <w:pPr>
        <w:spacing w:line="600" w:lineRule="exact"/>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(6) 产出与效益-服务对象满意度-临时工对单位工作满意度</w:t>
      </w:r>
    </w:p>
    <w:p>
      <w:pPr>
        <w:spacing w:line="600" w:lineRule="exact"/>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 xml:space="preserve">      评分标准：分值6分，实际完成值优于或达到预设值合格（期初绩效目标值：合格）得满分，未完成预设值时得分为：指标分值×（实际完成值/预设值）。</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实际情况：3名临时工年末考核成绩为1个优秀2合格</w:t>
      </w:r>
    </w:p>
    <w:p>
      <w:pPr>
        <w:spacing w:line="600" w:lineRule="exact"/>
        <w:ind w:firstLine="640" w:firstLineChars="200"/>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得分：我局对临时工工作满意度达到100%=期初目标100%，得6分。</w:t>
      </w:r>
    </w:p>
    <w:p>
      <w:pPr>
        <w:spacing w:line="600" w:lineRule="exact"/>
        <w:rPr>
          <w:rFonts w:ascii="仿宋_GB2312" w:hAnsi="仿宋_GB2312" w:eastAsia="仿宋_GB2312" w:cs="仿宋_GB2312"/>
          <w:b/>
          <w:color w:val="000000" w:themeColor="text1"/>
          <w:sz w:val="32"/>
          <w:szCs w:val="32"/>
        </w:rPr>
      </w:pPr>
      <w:r>
        <w:rPr>
          <w:rFonts w:hint="eastAsia" w:ascii="仿宋_GB2312" w:hAnsi="仿宋_GB2312" w:eastAsia="仿宋_GB2312" w:cs="仿宋_GB2312"/>
          <w:b/>
          <w:color w:val="000000" w:themeColor="text1"/>
          <w:sz w:val="32"/>
          <w:szCs w:val="32"/>
        </w:rPr>
        <w:t>三、其他需要说明的事项</w:t>
      </w:r>
    </w:p>
    <w:p>
      <w:pPr>
        <w:spacing w:line="600" w:lineRule="exact"/>
        <w:ind w:firstLine="6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1.本次评价未聘请第三方中介机构参与评价。</w:t>
      </w:r>
    </w:p>
    <w:p>
      <w:pPr>
        <w:spacing w:line="600" w:lineRule="exact"/>
        <w:ind w:firstLine="600"/>
        <w:rPr>
          <w:rFonts w:ascii="仿宋_GB2312" w:hAnsi="仿宋_GB2312" w:eastAsia="仿宋_GB2312" w:cs="仿宋_GB2312"/>
          <w:color w:val="000000" w:themeColor="text1"/>
          <w:sz w:val="32"/>
          <w:szCs w:val="32"/>
        </w:rPr>
      </w:pPr>
    </w:p>
    <w:p>
      <w:pPr>
        <w:spacing w:line="600" w:lineRule="exact"/>
        <w:ind w:firstLine="600"/>
        <w:rPr>
          <w:rFonts w:ascii="仿宋_GB2312" w:hAnsi="仿宋_GB2312" w:eastAsia="仿宋_GB2312" w:cs="仿宋_GB2312"/>
          <w:color w:val="000000" w:themeColor="text1"/>
          <w:sz w:val="32"/>
          <w:szCs w:val="32"/>
        </w:rPr>
      </w:pPr>
    </w:p>
    <w:p>
      <w:pPr>
        <w:spacing w:line="600" w:lineRule="exact"/>
        <w:ind w:firstLine="600"/>
        <w:rPr>
          <w:rFonts w:ascii="仿宋_GB2312" w:hAnsi="仿宋_GB2312" w:eastAsia="仿宋_GB2312" w:cs="仿宋_GB2312"/>
          <w:color w:val="000000" w:themeColor="text1"/>
          <w:sz w:val="32"/>
          <w:szCs w:val="32"/>
        </w:rPr>
      </w:pPr>
    </w:p>
    <w:p>
      <w:pPr>
        <w:spacing w:line="600" w:lineRule="exact"/>
        <w:ind w:firstLine="600"/>
        <w:rPr>
          <w:rFonts w:ascii="仿宋_GB2312" w:hAnsi="仿宋_GB2312" w:eastAsia="仿宋_GB2312" w:cs="仿宋_GB2312"/>
          <w:color w:val="000000" w:themeColor="text1"/>
          <w:sz w:val="32"/>
          <w:szCs w:val="32"/>
        </w:rPr>
      </w:pPr>
    </w:p>
    <w:p>
      <w:pPr>
        <w:spacing w:line="600" w:lineRule="exact"/>
        <w:ind w:firstLine="600"/>
        <w:rPr>
          <w:rFonts w:ascii="仿宋_GB2312" w:hAnsi="仿宋_GB2312" w:eastAsia="仿宋_GB2312" w:cs="仿宋_GB2312"/>
          <w:color w:val="000000" w:themeColor="text1"/>
          <w:sz w:val="32"/>
          <w:szCs w:val="32"/>
        </w:rPr>
      </w:pPr>
    </w:p>
    <w:p>
      <w:pPr>
        <w:spacing w:line="600" w:lineRule="exact"/>
        <w:ind w:firstLine="600"/>
        <w:rPr>
          <w:rFonts w:ascii="仿宋_GB2312" w:hAnsi="仿宋_GB2312" w:eastAsia="仿宋_GB2312" w:cs="仿宋_GB2312"/>
          <w:color w:val="000000" w:themeColor="text1"/>
          <w:sz w:val="32"/>
          <w:szCs w:val="32"/>
        </w:rPr>
      </w:pPr>
    </w:p>
    <w:p>
      <w:pPr>
        <w:spacing w:line="600" w:lineRule="exact"/>
        <w:ind w:firstLine="600"/>
        <w:rPr>
          <w:rFonts w:ascii="仿宋_GB2312" w:hAnsi="仿宋_GB2312" w:eastAsia="仿宋_GB2312" w:cs="仿宋_GB2312"/>
          <w:color w:val="000000" w:themeColor="text1"/>
          <w:sz w:val="32"/>
          <w:szCs w:val="32"/>
        </w:rPr>
      </w:pPr>
    </w:p>
    <w:p>
      <w:pPr>
        <w:spacing w:line="600" w:lineRule="exact"/>
        <w:ind w:left="5110" w:leftChars="1824" w:hanging="1280" w:hangingChars="4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福州市鼓楼区投资促进局                       2018年9月28日</w:t>
      </w:r>
    </w:p>
    <w:p>
      <w:pPr>
        <w:spacing w:line="600" w:lineRule="exact"/>
        <w:ind w:firstLine="600"/>
        <w:rPr>
          <w:rFonts w:ascii="仿宋_GB2312" w:hAnsi="仿宋_GB2312" w:eastAsia="仿宋_GB2312" w:cs="仿宋_GB2312"/>
          <w:color w:val="000000" w:themeColor="text1"/>
          <w:sz w:val="32"/>
          <w:szCs w:val="32"/>
        </w:rPr>
      </w:pPr>
    </w:p>
    <w:p>
      <w:pPr>
        <w:spacing w:line="600" w:lineRule="exact"/>
        <w:rPr>
          <w:rFonts w:ascii="仿宋_GB2312" w:hAnsi="仿宋_GB2312" w:eastAsia="仿宋_GB2312" w:cs="仿宋_GB2312"/>
          <w:color w:val="000000" w:themeColor="text1"/>
          <w:sz w:val="32"/>
          <w:szCs w:val="32"/>
        </w:rPr>
      </w:pP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2</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Pr>
    </w:pPr>
    <w:r>
      <w:fldChar w:fldCharType="begin"/>
    </w:r>
    <w:r>
      <w:rPr>
        <w:rStyle w:val="6"/>
      </w:rPr>
      <w:instrText xml:space="preserve">PAGE  </w:instrTex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FEA842"/>
    <w:multiLevelType w:val="singleLevel"/>
    <w:tmpl w:val="BFFEA842"/>
    <w:lvl w:ilvl="0" w:tentative="0">
      <w:start w:val="2"/>
      <w:numFmt w:val="decimal"/>
      <w:suff w:val="nothing"/>
      <w:lvlText w:val="（%1）"/>
      <w:lvlJc w:val="left"/>
    </w:lvl>
  </w:abstractNum>
  <w:abstractNum w:abstractNumId="1">
    <w:nsid w:val="617F0405"/>
    <w:multiLevelType w:val="singleLevel"/>
    <w:tmpl w:val="617F0405"/>
    <w:lvl w:ilvl="0" w:tentative="0">
      <w:start w:val="6"/>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443"/>
    <w:rsid w:val="0002119D"/>
    <w:rsid w:val="00026F22"/>
    <w:rsid w:val="00033162"/>
    <w:rsid w:val="000432A6"/>
    <w:rsid w:val="00066C95"/>
    <w:rsid w:val="00097402"/>
    <w:rsid w:val="000D344F"/>
    <w:rsid w:val="000F44EF"/>
    <w:rsid w:val="00135517"/>
    <w:rsid w:val="00190C0F"/>
    <w:rsid w:val="001C5E8E"/>
    <w:rsid w:val="001D0495"/>
    <w:rsid w:val="001D3BB9"/>
    <w:rsid w:val="00204BE6"/>
    <w:rsid w:val="002169D7"/>
    <w:rsid w:val="00283B6D"/>
    <w:rsid w:val="00285781"/>
    <w:rsid w:val="002D23EF"/>
    <w:rsid w:val="002E4072"/>
    <w:rsid w:val="00323DB1"/>
    <w:rsid w:val="00343B23"/>
    <w:rsid w:val="00365F36"/>
    <w:rsid w:val="003E33D6"/>
    <w:rsid w:val="00442597"/>
    <w:rsid w:val="0048062B"/>
    <w:rsid w:val="0048121F"/>
    <w:rsid w:val="0048692A"/>
    <w:rsid w:val="00564FCE"/>
    <w:rsid w:val="00574602"/>
    <w:rsid w:val="00581B4F"/>
    <w:rsid w:val="005C68B1"/>
    <w:rsid w:val="005D0E8E"/>
    <w:rsid w:val="005E34C1"/>
    <w:rsid w:val="00635B96"/>
    <w:rsid w:val="00641746"/>
    <w:rsid w:val="00662329"/>
    <w:rsid w:val="00682757"/>
    <w:rsid w:val="006900AB"/>
    <w:rsid w:val="006B3420"/>
    <w:rsid w:val="006C28F7"/>
    <w:rsid w:val="006C7343"/>
    <w:rsid w:val="006D420F"/>
    <w:rsid w:val="007143AF"/>
    <w:rsid w:val="007268DB"/>
    <w:rsid w:val="007751C6"/>
    <w:rsid w:val="007C5348"/>
    <w:rsid w:val="007D6176"/>
    <w:rsid w:val="007E463C"/>
    <w:rsid w:val="008138FD"/>
    <w:rsid w:val="008B5C15"/>
    <w:rsid w:val="008C3D14"/>
    <w:rsid w:val="008F1369"/>
    <w:rsid w:val="0090405B"/>
    <w:rsid w:val="009574DD"/>
    <w:rsid w:val="00994443"/>
    <w:rsid w:val="00995EDE"/>
    <w:rsid w:val="009D4F5F"/>
    <w:rsid w:val="00A17597"/>
    <w:rsid w:val="00A44160"/>
    <w:rsid w:val="00A83700"/>
    <w:rsid w:val="00A83C86"/>
    <w:rsid w:val="00AB6A04"/>
    <w:rsid w:val="00B00182"/>
    <w:rsid w:val="00B0785C"/>
    <w:rsid w:val="00BB1A30"/>
    <w:rsid w:val="00BB6E9C"/>
    <w:rsid w:val="00BE205A"/>
    <w:rsid w:val="00C53C79"/>
    <w:rsid w:val="00C578AE"/>
    <w:rsid w:val="00CB703B"/>
    <w:rsid w:val="00CC1264"/>
    <w:rsid w:val="00D05451"/>
    <w:rsid w:val="00D10707"/>
    <w:rsid w:val="00D3515E"/>
    <w:rsid w:val="00D5429D"/>
    <w:rsid w:val="00D95414"/>
    <w:rsid w:val="00D9608D"/>
    <w:rsid w:val="00DB3DE3"/>
    <w:rsid w:val="00DD2691"/>
    <w:rsid w:val="00DE0F1B"/>
    <w:rsid w:val="00DF0817"/>
    <w:rsid w:val="00E00E4C"/>
    <w:rsid w:val="00E050FD"/>
    <w:rsid w:val="00E213A1"/>
    <w:rsid w:val="00E557A3"/>
    <w:rsid w:val="00E6433C"/>
    <w:rsid w:val="00E6473D"/>
    <w:rsid w:val="00E71049"/>
    <w:rsid w:val="00E822CD"/>
    <w:rsid w:val="00E829F1"/>
    <w:rsid w:val="00EA3234"/>
    <w:rsid w:val="00EB0D7E"/>
    <w:rsid w:val="00F050AF"/>
    <w:rsid w:val="00F22F58"/>
    <w:rsid w:val="00F25269"/>
    <w:rsid w:val="00F264A9"/>
    <w:rsid w:val="00F33049"/>
    <w:rsid w:val="00F62E98"/>
    <w:rsid w:val="00F83298"/>
    <w:rsid w:val="00FB1A9A"/>
    <w:rsid w:val="00FC786F"/>
    <w:rsid w:val="00FE6833"/>
    <w:rsid w:val="00FF5758"/>
    <w:rsid w:val="010E2D6F"/>
    <w:rsid w:val="018477E5"/>
    <w:rsid w:val="01941591"/>
    <w:rsid w:val="02061C3D"/>
    <w:rsid w:val="02773FC2"/>
    <w:rsid w:val="02E66958"/>
    <w:rsid w:val="02FB6154"/>
    <w:rsid w:val="05CB0CAE"/>
    <w:rsid w:val="05FA37FF"/>
    <w:rsid w:val="06642F76"/>
    <w:rsid w:val="072904E7"/>
    <w:rsid w:val="08C638C5"/>
    <w:rsid w:val="09323B1D"/>
    <w:rsid w:val="09CB6240"/>
    <w:rsid w:val="09FF43CB"/>
    <w:rsid w:val="0A1D5AEC"/>
    <w:rsid w:val="0BC730A3"/>
    <w:rsid w:val="0C2311D9"/>
    <w:rsid w:val="0C4E34AD"/>
    <w:rsid w:val="0C6D3084"/>
    <w:rsid w:val="0CCE01F9"/>
    <w:rsid w:val="0D3A7A22"/>
    <w:rsid w:val="0D955EBB"/>
    <w:rsid w:val="121A7B91"/>
    <w:rsid w:val="126C36F9"/>
    <w:rsid w:val="12C0744D"/>
    <w:rsid w:val="12EA52DF"/>
    <w:rsid w:val="134D3F46"/>
    <w:rsid w:val="13BE0150"/>
    <w:rsid w:val="1466222E"/>
    <w:rsid w:val="14B6648E"/>
    <w:rsid w:val="154F3E78"/>
    <w:rsid w:val="156F6898"/>
    <w:rsid w:val="16E22B2B"/>
    <w:rsid w:val="19F637AA"/>
    <w:rsid w:val="1A0C5117"/>
    <w:rsid w:val="1B29012B"/>
    <w:rsid w:val="1B956B1A"/>
    <w:rsid w:val="1BE149F7"/>
    <w:rsid w:val="1C00647E"/>
    <w:rsid w:val="1C6378F3"/>
    <w:rsid w:val="1D5D088F"/>
    <w:rsid w:val="1DD927AD"/>
    <w:rsid w:val="1EB7073F"/>
    <w:rsid w:val="1F8C4B08"/>
    <w:rsid w:val="203D3579"/>
    <w:rsid w:val="2112298C"/>
    <w:rsid w:val="218E4C23"/>
    <w:rsid w:val="23E578A0"/>
    <w:rsid w:val="24115EE0"/>
    <w:rsid w:val="24D53F0C"/>
    <w:rsid w:val="257C7694"/>
    <w:rsid w:val="26BD1030"/>
    <w:rsid w:val="27624AC9"/>
    <w:rsid w:val="29002EAD"/>
    <w:rsid w:val="29015445"/>
    <w:rsid w:val="29514BAD"/>
    <w:rsid w:val="2A006AD5"/>
    <w:rsid w:val="2A5426CE"/>
    <w:rsid w:val="2AC12DAB"/>
    <w:rsid w:val="2BC44DA3"/>
    <w:rsid w:val="2CC852B5"/>
    <w:rsid w:val="2D1738C9"/>
    <w:rsid w:val="2D4567BC"/>
    <w:rsid w:val="2D6B5C04"/>
    <w:rsid w:val="2DA94592"/>
    <w:rsid w:val="2F3E554C"/>
    <w:rsid w:val="2FBC1304"/>
    <w:rsid w:val="30500373"/>
    <w:rsid w:val="30795C10"/>
    <w:rsid w:val="31166B3A"/>
    <w:rsid w:val="319B60DB"/>
    <w:rsid w:val="32072E63"/>
    <w:rsid w:val="33AA7EAC"/>
    <w:rsid w:val="33CD0505"/>
    <w:rsid w:val="3427357D"/>
    <w:rsid w:val="35137F53"/>
    <w:rsid w:val="357315AC"/>
    <w:rsid w:val="37244137"/>
    <w:rsid w:val="38275BFA"/>
    <w:rsid w:val="38292DD5"/>
    <w:rsid w:val="394950DD"/>
    <w:rsid w:val="39611EC7"/>
    <w:rsid w:val="39C30564"/>
    <w:rsid w:val="3A0217ED"/>
    <w:rsid w:val="3C1F31A2"/>
    <w:rsid w:val="3C3A7AE5"/>
    <w:rsid w:val="3DAD7C86"/>
    <w:rsid w:val="4033371C"/>
    <w:rsid w:val="40A449B5"/>
    <w:rsid w:val="40C15353"/>
    <w:rsid w:val="41A347D8"/>
    <w:rsid w:val="42D9393E"/>
    <w:rsid w:val="433340D2"/>
    <w:rsid w:val="440D04E3"/>
    <w:rsid w:val="4476013C"/>
    <w:rsid w:val="44A52CEB"/>
    <w:rsid w:val="4612500D"/>
    <w:rsid w:val="47310858"/>
    <w:rsid w:val="473A78CA"/>
    <w:rsid w:val="47CF0BF0"/>
    <w:rsid w:val="489722C8"/>
    <w:rsid w:val="489C7986"/>
    <w:rsid w:val="48DD0C69"/>
    <w:rsid w:val="498B1B5E"/>
    <w:rsid w:val="4A534F43"/>
    <w:rsid w:val="4A786BB3"/>
    <w:rsid w:val="4B0506E5"/>
    <w:rsid w:val="4BEC7BAF"/>
    <w:rsid w:val="4C29381E"/>
    <w:rsid w:val="4C8910F6"/>
    <w:rsid w:val="4C99546E"/>
    <w:rsid w:val="4CA23D31"/>
    <w:rsid w:val="4CAD5F95"/>
    <w:rsid w:val="4D1C477C"/>
    <w:rsid w:val="4ED309E3"/>
    <w:rsid w:val="4F4A302F"/>
    <w:rsid w:val="4F7C1E9F"/>
    <w:rsid w:val="51232314"/>
    <w:rsid w:val="52171E6E"/>
    <w:rsid w:val="526C01EC"/>
    <w:rsid w:val="52AC18BB"/>
    <w:rsid w:val="53531565"/>
    <w:rsid w:val="54127F1F"/>
    <w:rsid w:val="544F7E03"/>
    <w:rsid w:val="54E96062"/>
    <w:rsid w:val="56202C0A"/>
    <w:rsid w:val="568F32FB"/>
    <w:rsid w:val="569C7A71"/>
    <w:rsid w:val="56C77647"/>
    <w:rsid w:val="57DA0EF9"/>
    <w:rsid w:val="58641FAE"/>
    <w:rsid w:val="592419F2"/>
    <w:rsid w:val="59893DDC"/>
    <w:rsid w:val="5BE77191"/>
    <w:rsid w:val="5CBB095C"/>
    <w:rsid w:val="5F03324E"/>
    <w:rsid w:val="5F1C6E8C"/>
    <w:rsid w:val="60EF5CB0"/>
    <w:rsid w:val="60F16194"/>
    <w:rsid w:val="610651CE"/>
    <w:rsid w:val="615A28B7"/>
    <w:rsid w:val="61B90CB6"/>
    <w:rsid w:val="62866D91"/>
    <w:rsid w:val="62BA0A35"/>
    <w:rsid w:val="63897D14"/>
    <w:rsid w:val="63C55E36"/>
    <w:rsid w:val="64591D5C"/>
    <w:rsid w:val="6557075F"/>
    <w:rsid w:val="658C4D30"/>
    <w:rsid w:val="67DF4EF7"/>
    <w:rsid w:val="67ED7763"/>
    <w:rsid w:val="681F3E3A"/>
    <w:rsid w:val="685642B8"/>
    <w:rsid w:val="686C1F71"/>
    <w:rsid w:val="68AF0866"/>
    <w:rsid w:val="698E47C2"/>
    <w:rsid w:val="69B3231D"/>
    <w:rsid w:val="6A606835"/>
    <w:rsid w:val="6AA74320"/>
    <w:rsid w:val="6ACA3AB1"/>
    <w:rsid w:val="6AD5417A"/>
    <w:rsid w:val="6B2C61EA"/>
    <w:rsid w:val="6B7B58B1"/>
    <w:rsid w:val="6D251E6C"/>
    <w:rsid w:val="6DD874E0"/>
    <w:rsid w:val="702133AA"/>
    <w:rsid w:val="717D26C9"/>
    <w:rsid w:val="72083639"/>
    <w:rsid w:val="722702BD"/>
    <w:rsid w:val="74A918CC"/>
    <w:rsid w:val="75B35692"/>
    <w:rsid w:val="7840296B"/>
    <w:rsid w:val="78A5222E"/>
    <w:rsid w:val="796C1C21"/>
    <w:rsid w:val="79E12912"/>
    <w:rsid w:val="7A3318EB"/>
    <w:rsid w:val="7A5F51BC"/>
    <w:rsid w:val="7A826C95"/>
    <w:rsid w:val="7B714EE7"/>
    <w:rsid w:val="7C1A722D"/>
    <w:rsid w:val="7C725B3A"/>
    <w:rsid w:val="7C852A2B"/>
    <w:rsid w:val="7CA53047"/>
    <w:rsid w:val="7DCA73A7"/>
    <w:rsid w:val="7DF4673D"/>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styleId="7">
    <w:name w:val="Hyperlink"/>
    <w:basedOn w:val="5"/>
    <w:qFormat/>
    <w:uiPriority w:val="0"/>
    <w:rPr>
      <w:color w:val="0000FF"/>
      <w:u w:val="single"/>
    </w:rPr>
  </w:style>
  <w:style w:type="paragraph" w:customStyle="1" w:styleId="9">
    <w:name w:val="Char1"/>
    <w:basedOn w:val="1"/>
    <w:qFormat/>
    <w:uiPriority w:val="0"/>
    <w:rPr>
      <w:rFonts w:ascii="Tahoma" w:hAnsi="Tahoma"/>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FB1BCA-EA71-4EBB-9BB9-E8490EE78FF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3215</Words>
  <Characters>432</Characters>
  <Lines>3</Lines>
  <Paragraphs>7</Paragraphs>
  <TotalTime>0</TotalTime>
  <ScaleCrop>false</ScaleCrop>
  <LinksUpToDate>false</LinksUpToDate>
  <CharactersWithSpaces>3640</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2018-09-29T08:33:00Z</dcterms:created>
  <dc:creator>lenovo</dc:creator>
  <cp:lastModifiedBy>Administrator</cp:lastModifiedBy>
  <cp:lastPrinted>2018-10-18T02:22:00Z</cp:lastPrinted>
  <dcterms:modified xsi:type="dcterms:W3CDTF">2018-11-02T08:16:33Z</dcterms:modified>
  <dc:title>财政支出项目</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ies>
</file>