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5" w:leftChars="-150"/>
        <w:jc w:val="center"/>
        <w:rPr>
          <w:rFonts w:hint="eastAsia" w:ascii="仿宋_GB2312" w:hAnsi="仿宋_GB2312"/>
          <w:sz w:val="72"/>
          <w:szCs w:val="72"/>
        </w:rPr>
      </w:pPr>
    </w:p>
    <w:p>
      <w:pPr>
        <w:ind w:left="-315" w:leftChars="-150"/>
        <w:jc w:val="center"/>
        <w:rPr>
          <w:rFonts w:hint="eastAsia" w:ascii="仿宋_GB2312" w:hAnsi="仿宋_GB2312"/>
          <w:sz w:val="72"/>
          <w:szCs w:val="72"/>
        </w:rPr>
      </w:pPr>
    </w:p>
    <w:p>
      <w:pPr>
        <w:ind w:left="-315" w:leftChars="-150"/>
        <w:jc w:val="center"/>
        <w:rPr>
          <w:rFonts w:hint="eastAsia" w:ascii="仿宋_GB2312" w:hAnsi="仿宋_GB2312"/>
          <w:sz w:val="72"/>
          <w:szCs w:val="72"/>
        </w:rPr>
      </w:pPr>
    </w:p>
    <w:p>
      <w:pPr>
        <w:ind w:left="-315" w:leftChars="-150"/>
        <w:jc w:val="center"/>
        <w:rPr>
          <w:rFonts w:ascii="仿宋_GB2312" w:hAnsi="新宋体"/>
          <w:sz w:val="72"/>
          <w:szCs w:val="72"/>
        </w:rPr>
      </w:pPr>
      <w:r>
        <w:rPr>
          <w:rFonts w:ascii="仿宋_GB2312" w:hAnsi="仿宋_GB2312"/>
          <w:sz w:val="72"/>
          <w:szCs w:val="72"/>
        </w:rPr>
        <w:t>财政支出项目</w:t>
      </w:r>
    </w:p>
    <w:p>
      <w:pPr>
        <w:jc w:val="center"/>
        <w:rPr>
          <w:rFonts w:ascii="仿宋_GB2312" w:hAnsi="新宋体"/>
          <w:sz w:val="72"/>
          <w:szCs w:val="72"/>
        </w:rPr>
      </w:pPr>
      <w:r>
        <w:rPr>
          <w:rFonts w:ascii="仿宋_GB2312" w:hAnsi="仿宋_GB2312"/>
          <w:sz w:val="72"/>
          <w:szCs w:val="72"/>
        </w:rPr>
        <w:t>绩</w:t>
      </w:r>
      <w:r>
        <w:rPr>
          <w:rFonts w:ascii="仿宋_GB2312" w:hAnsi="新宋体"/>
          <w:sz w:val="72"/>
          <w:szCs w:val="72"/>
        </w:rPr>
        <w:t xml:space="preserve"> </w:t>
      </w:r>
      <w:r>
        <w:rPr>
          <w:rFonts w:ascii="仿宋_GB2312" w:hAnsi="仿宋_GB2312"/>
          <w:sz w:val="72"/>
          <w:szCs w:val="72"/>
        </w:rPr>
        <w:t>效</w:t>
      </w:r>
      <w:r>
        <w:rPr>
          <w:rFonts w:ascii="仿宋_GB2312" w:hAnsi="新宋体"/>
          <w:sz w:val="72"/>
          <w:szCs w:val="72"/>
        </w:rPr>
        <w:t xml:space="preserve"> </w:t>
      </w:r>
      <w:r>
        <w:rPr>
          <w:rFonts w:ascii="仿宋_GB2312" w:hAnsi="仿宋_GB2312"/>
          <w:sz w:val="72"/>
          <w:szCs w:val="72"/>
        </w:rPr>
        <w:t>评</w:t>
      </w:r>
      <w:r>
        <w:rPr>
          <w:rFonts w:ascii="仿宋_GB2312" w:hAnsi="新宋体"/>
          <w:sz w:val="72"/>
          <w:szCs w:val="72"/>
        </w:rPr>
        <w:t xml:space="preserve"> </w:t>
      </w:r>
      <w:r>
        <w:rPr>
          <w:rFonts w:ascii="仿宋_GB2312" w:hAnsi="仿宋_GB2312"/>
          <w:sz w:val="72"/>
          <w:szCs w:val="72"/>
        </w:rPr>
        <w:t>价</w:t>
      </w:r>
      <w:r>
        <w:rPr>
          <w:rFonts w:ascii="仿宋_GB2312" w:hAnsi="新宋体"/>
          <w:sz w:val="72"/>
          <w:szCs w:val="72"/>
        </w:rPr>
        <w:t xml:space="preserve"> </w:t>
      </w:r>
      <w:r>
        <w:rPr>
          <w:rFonts w:ascii="仿宋_GB2312" w:hAnsi="仿宋_GB2312"/>
          <w:sz w:val="72"/>
          <w:szCs w:val="72"/>
        </w:rPr>
        <w:t>报</w:t>
      </w:r>
      <w:r>
        <w:rPr>
          <w:rFonts w:ascii="仿宋_GB2312" w:hAnsi="新宋体"/>
          <w:sz w:val="72"/>
          <w:szCs w:val="72"/>
        </w:rPr>
        <w:t xml:space="preserve"> </w:t>
      </w:r>
      <w:r>
        <w:rPr>
          <w:rFonts w:ascii="仿宋_GB2312" w:hAnsi="仿宋_GB2312"/>
          <w:sz w:val="72"/>
          <w:szCs w:val="72"/>
        </w:rPr>
        <w:t>告</w:t>
      </w:r>
    </w:p>
    <w:p>
      <w:pPr>
        <w:ind w:left="6485" w:leftChars="688" w:hanging="5040" w:hangingChars="700"/>
        <w:rPr>
          <w:rFonts w:hint="eastAsia" w:ascii="仿宋_GB2312" w:hAnsi="Courier New"/>
          <w:sz w:val="72"/>
          <w:szCs w:val="72"/>
        </w:rPr>
      </w:pPr>
    </w:p>
    <w:p>
      <w:pPr>
        <w:ind w:left="6485" w:leftChars="688" w:hanging="5040" w:hangingChars="700"/>
        <w:rPr>
          <w:rFonts w:ascii="仿宋_GB2312" w:hAnsi="Courier New"/>
          <w:sz w:val="72"/>
          <w:szCs w:val="72"/>
        </w:rPr>
      </w:pPr>
      <w:r>
        <w:rPr>
          <w:rFonts w:ascii="仿宋_GB2312" w:hAnsi="Courier New"/>
          <w:sz w:val="72"/>
          <w:szCs w:val="72"/>
        </w:rPr>
        <w:t xml:space="preserve"> </w:t>
      </w:r>
    </w:p>
    <w:p>
      <w:pPr>
        <w:ind w:left="3965" w:leftChars="688" w:hanging="2520" w:hangingChars="700"/>
        <w:rPr>
          <w:rFonts w:ascii="仿宋_GB2312" w:hAnsi="仿宋_GB2312"/>
          <w:sz w:val="36"/>
          <w:szCs w:val="36"/>
        </w:rPr>
      </w:pPr>
      <w:r>
        <w:rPr>
          <w:rFonts w:ascii="仿宋_GB2312" w:hAnsi="仿宋_GB2312"/>
          <w:sz w:val="36"/>
          <w:szCs w:val="36"/>
        </w:rPr>
        <w:t xml:space="preserve"> </w:t>
      </w:r>
    </w:p>
    <w:p>
      <w:pPr>
        <w:ind w:firstLine="1080" w:firstLineChars="300"/>
        <w:rPr>
          <w:rFonts w:ascii="仿宋_GB2312" w:hAnsi="仿宋_GB2312"/>
          <w:sz w:val="36"/>
          <w:szCs w:val="36"/>
        </w:rPr>
      </w:pPr>
      <w:r>
        <w:rPr>
          <w:rFonts w:ascii="仿宋_GB2312" w:hAnsi="仿宋_GB2312"/>
          <w:sz w:val="36"/>
          <w:szCs w:val="36"/>
        </w:rPr>
        <w:t>项 目 名 称： 综治工作经费</w:t>
      </w:r>
    </w:p>
    <w:p>
      <w:pPr>
        <w:ind w:firstLine="1080" w:firstLineChars="300"/>
        <w:rPr>
          <w:rFonts w:ascii="仿宋_GB2312" w:hAnsi="Courier New"/>
          <w:sz w:val="36"/>
          <w:szCs w:val="36"/>
        </w:rPr>
      </w:pPr>
      <w:r>
        <w:rPr>
          <w:rFonts w:ascii="仿宋_GB2312" w:hAnsi="仿宋_GB2312"/>
          <w:sz w:val="36"/>
          <w:szCs w:val="36"/>
        </w:rPr>
        <w:t>项目承担单位：</w:t>
      </w:r>
      <w:r>
        <w:rPr>
          <w:rFonts w:ascii="仿宋_GB2312" w:hAnsi="Courier New"/>
          <w:sz w:val="36"/>
          <w:szCs w:val="36"/>
        </w:rPr>
        <w:t xml:space="preserve"> </w:t>
      </w:r>
    </w:p>
    <w:p>
      <w:pPr>
        <w:ind w:firstLine="1080" w:firstLineChars="300"/>
        <w:rPr>
          <w:rFonts w:ascii="仿宋_GB2312" w:hAnsi="Courier New"/>
          <w:sz w:val="36"/>
          <w:szCs w:val="36"/>
          <w:u w:val="single"/>
        </w:rPr>
      </w:pPr>
      <w:r>
        <w:rPr>
          <w:rFonts w:ascii="仿宋_GB2312" w:hAnsi="仿宋_GB2312"/>
          <w:sz w:val="36"/>
          <w:szCs w:val="36"/>
        </w:rPr>
        <w:t>项目主管：福州市鼓楼区东街街道办事处</w:t>
      </w:r>
    </w:p>
    <w:p>
      <w:pPr>
        <w:ind w:firstLine="1080" w:firstLineChars="300"/>
        <w:rPr>
          <w:rFonts w:ascii="仿宋_GB2312" w:hAnsi="Courier New"/>
          <w:sz w:val="36"/>
          <w:szCs w:val="36"/>
        </w:rPr>
      </w:pPr>
      <w:r>
        <w:rPr>
          <w:rFonts w:ascii="仿宋_GB2312" w:hAnsi="Courier New"/>
          <w:sz w:val="36"/>
          <w:szCs w:val="36"/>
        </w:rPr>
        <w:t xml:space="preserve"> </w:t>
      </w:r>
    </w:p>
    <w:p>
      <w:pPr>
        <w:ind w:firstLine="1080" w:firstLineChars="300"/>
        <w:rPr>
          <w:rFonts w:ascii="仿宋_GB2312" w:hAnsi="Courier New"/>
          <w:sz w:val="36"/>
          <w:szCs w:val="36"/>
        </w:rPr>
      </w:pPr>
      <w:r>
        <w:rPr>
          <w:rFonts w:ascii="仿宋_GB2312" w:hAnsi="Courier New"/>
          <w:sz w:val="36"/>
          <w:szCs w:val="36"/>
        </w:rPr>
        <w:t xml:space="preserve"> </w:t>
      </w:r>
    </w:p>
    <w:p>
      <w:pPr>
        <w:ind w:firstLine="1080" w:firstLineChars="300"/>
        <w:rPr>
          <w:rFonts w:hint="eastAsia" w:ascii="仿宋_GB2312" w:hAnsi="Courier New"/>
          <w:sz w:val="36"/>
          <w:szCs w:val="36"/>
        </w:rPr>
      </w:pPr>
      <w:r>
        <w:rPr>
          <w:rFonts w:ascii="仿宋_GB2312" w:hAnsi="Courier New"/>
          <w:sz w:val="36"/>
          <w:szCs w:val="36"/>
        </w:rPr>
        <w:t xml:space="preserve"> </w:t>
      </w:r>
    </w:p>
    <w:p>
      <w:pPr>
        <w:ind w:firstLine="1080" w:firstLineChars="300"/>
        <w:rPr>
          <w:rFonts w:ascii="仿宋_GB2312" w:hAnsi="Courier New"/>
          <w:sz w:val="36"/>
          <w:szCs w:val="36"/>
        </w:rPr>
      </w:pPr>
    </w:p>
    <w:p>
      <w:pPr>
        <w:ind w:firstLine="1080" w:firstLineChars="300"/>
        <w:rPr>
          <w:rFonts w:ascii="仿宋_GB2312" w:hAnsi="Courier New"/>
          <w:sz w:val="36"/>
          <w:szCs w:val="36"/>
        </w:rPr>
      </w:pPr>
      <w:r>
        <w:rPr>
          <w:rFonts w:ascii="仿宋_GB2312" w:hAnsi="Courier New"/>
          <w:sz w:val="36"/>
          <w:szCs w:val="36"/>
        </w:rPr>
        <w:t xml:space="preserve"> </w:t>
      </w:r>
    </w:p>
    <w:p>
      <w:pPr>
        <w:spacing w:line="360" w:lineRule="exact"/>
        <w:rPr>
          <w:rFonts w:ascii="仿宋_GB2312" w:hAnsi="Courier New"/>
          <w:sz w:val="36"/>
          <w:szCs w:val="36"/>
        </w:rPr>
      </w:pPr>
      <w:r>
        <w:rPr>
          <w:rFonts w:ascii="仿宋_GB2312" w:hAnsi="Courier New"/>
          <w:sz w:val="36"/>
          <w:szCs w:val="36"/>
        </w:rPr>
        <w:t xml:space="preserve">      </w:t>
      </w:r>
      <w:r>
        <w:rPr>
          <w:rFonts w:ascii="仿宋_GB2312" w:hAnsi="仿宋_GB2312"/>
          <w:sz w:val="36"/>
          <w:szCs w:val="36"/>
        </w:rPr>
        <w:t>填</w:t>
      </w:r>
      <w:r>
        <w:rPr>
          <w:rFonts w:ascii="仿宋_GB2312" w:hAnsi="Courier New"/>
          <w:sz w:val="36"/>
          <w:szCs w:val="36"/>
        </w:rPr>
        <w:t xml:space="preserve"> </w:t>
      </w:r>
      <w:r>
        <w:rPr>
          <w:rFonts w:ascii="仿宋_GB2312" w:hAnsi="仿宋_GB2312"/>
          <w:sz w:val="36"/>
          <w:szCs w:val="36"/>
        </w:rPr>
        <w:t>报</w:t>
      </w:r>
      <w:r>
        <w:rPr>
          <w:rFonts w:ascii="仿宋_GB2312" w:hAnsi="Courier New"/>
          <w:sz w:val="36"/>
          <w:szCs w:val="36"/>
        </w:rPr>
        <w:t xml:space="preserve"> </w:t>
      </w:r>
      <w:r>
        <w:rPr>
          <w:rFonts w:ascii="仿宋_GB2312" w:hAnsi="仿宋_GB2312"/>
          <w:sz w:val="36"/>
          <w:szCs w:val="36"/>
        </w:rPr>
        <w:t>日</w:t>
      </w:r>
      <w:r>
        <w:rPr>
          <w:rFonts w:ascii="仿宋_GB2312" w:hAnsi="Courier New"/>
          <w:sz w:val="36"/>
          <w:szCs w:val="36"/>
        </w:rPr>
        <w:t xml:space="preserve"> </w:t>
      </w:r>
      <w:r>
        <w:rPr>
          <w:rFonts w:ascii="仿宋_GB2312" w:hAnsi="仿宋_GB2312"/>
          <w:sz w:val="36"/>
          <w:szCs w:val="36"/>
        </w:rPr>
        <w:t>期</w:t>
      </w:r>
      <w:r>
        <w:rPr>
          <w:rFonts w:ascii="仿宋_GB2312" w:hAnsi="Courier New"/>
          <w:sz w:val="36"/>
          <w:szCs w:val="36"/>
        </w:rPr>
        <w:t xml:space="preserve"> </w:t>
      </w:r>
      <w:r>
        <w:rPr>
          <w:rFonts w:ascii="仿宋_GB2312" w:hAnsi="仿宋_GB2312"/>
          <w:sz w:val="36"/>
          <w:szCs w:val="36"/>
        </w:rPr>
        <w:t>：</w:t>
      </w:r>
      <w:r>
        <w:rPr>
          <w:rFonts w:ascii="仿宋_GB2312" w:hAnsi="Courier New"/>
          <w:sz w:val="36"/>
          <w:szCs w:val="36"/>
        </w:rPr>
        <w:t xml:space="preserve"> 2018  年  9 月 </w:t>
      </w:r>
      <w:r>
        <w:rPr>
          <w:rFonts w:hint="eastAsia" w:ascii="仿宋_GB2312" w:hAnsi="Courier New"/>
          <w:sz w:val="36"/>
          <w:szCs w:val="36"/>
          <w:lang w:val="en-US" w:eastAsia="zh-CN"/>
        </w:rPr>
        <w:t>16</w:t>
      </w:r>
      <w:r>
        <w:rPr>
          <w:rFonts w:ascii="仿宋_GB2312" w:hAnsi="Courier New"/>
          <w:sz w:val="36"/>
          <w:szCs w:val="36"/>
        </w:rPr>
        <w:t xml:space="preserve"> 日</w:t>
      </w:r>
    </w:p>
    <w:p>
      <w:pPr>
        <w:pStyle w:val="2"/>
        <w:spacing w:line="360" w:lineRule="exact"/>
        <w:ind w:firstLine="0"/>
        <w:jc w:val="center"/>
        <w:outlineLvl w:val="1"/>
        <w:rPr>
          <w:rFonts w:ascii="仿宋_GB2312" w:hAnsi="宋体"/>
          <w:sz w:val="36"/>
          <w:szCs w:val="36"/>
        </w:rPr>
      </w:pPr>
      <w:r>
        <w:rPr>
          <w:rFonts w:ascii="仿宋_GB2312" w:hAnsi="宋体"/>
          <w:sz w:val="36"/>
          <w:szCs w:val="36"/>
        </w:rPr>
        <w:t xml:space="preserve"> </w:t>
      </w:r>
    </w:p>
    <w:p>
      <w:pPr>
        <w:pStyle w:val="2"/>
        <w:spacing w:line="360" w:lineRule="exact"/>
        <w:ind w:firstLine="0"/>
        <w:jc w:val="center"/>
        <w:outlineLvl w:val="1"/>
        <w:rPr>
          <w:rFonts w:ascii="仿宋_GB2312" w:hAnsi="宋体"/>
          <w:b/>
          <w:bCs/>
          <w:sz w:val="44"/>
          <w:szCs w:val="44"/>
        </w:rPr>
      </w:pPr>
      <w:r>
        <w:rPr>
          <w:rFonts w:ascii="仿宋_GB2312" w:hAnsi="宋体"/>
          <w:sz w:val="36"/>
          <w:szCs w:val="36"/>
        </w:rPr>
        <w:t xml:space="preserve">  </w:t>
      </w:r>
      <w:r>
        <w:rPr>
          <w:rFonts w:ascii="仿宋_GB2312" w:hAnsi="仿宋_GB2312"/>
          <w:sz w:val="36"/>
          <w:szCs w:val="36"/>
        </w:rPr>
        <w:t>福州市鼓楼区东街街道办事处</w:t>
      </w:r>
      <w:r>
        <w:rPr>
          <w:rFonts w:ascii="仿宋_GB2312" w:hAnsi="宋体"/>
          <w:sz w:val="36"/>
          <w:szCs w:val="36"/>
        </w:rPr>
        <w:t xml:space="preserve">  </w:t>
      </w:r>
      <w:r>
        <w:rPr>
          <w:rFonts w:ascii="仿宋_GB2312" w:hAnsi="仿宋_GB2312"/>
          <w:sz w:val="36"/>
          <w:szCs w:val="36"/>
        </w:rPr>
        <w:t>制</w:t>
      </w:r>
    </w:p>
    <w:p>
      <w:pPr>
        <w:pStyle w:val="2"/>
        <w:ind w:firstLine="0"/>
        <w:jc w:val="center"/>
        <w:outlineLvl w:val="1"/>
        <w:rPr>
          <w:rFonts w:ascii="仿宋_GB2312" w:hAnsi="宋体"/>
          <w:b/>
          <w:bCs/>
          <w:sz w:val="44"/>
          <w:szCs w:val="44"/>
        </w:rPr>
      </w:pPr>
      <w:r>
        <w:rPr>
          <w:rFonts w:ascii="仿宋_GB2312" w:hAnsi="宋体"/>
          <w:b/>
          <w:bCs/>
          <w:sz w:val="44"/>
          <w:szCs w:val="44"/>
        </w:rPr>
        <w:t xml:space="preserve"> </w:t>
      </w:r>
    </w:p>
    <w:p>
      <w:pPr>
        <w:pStyle w:val="2"/>
        <w:ind w:firstLine="0"/>
        <w:jc w:val="center"/>
        <w:outlineLvl w:val="1"/>
        <w:rPr>
          <w:rFonts w:hint="eastAsia" w:ascii="仿宋_GB2312" w:hAnsi="仿宋_GB2312"/>
          <w:b/>
          <w:bCs/>
          <w:sz w:val="44"/>
          <w:szCs w:val="44"/>
        </w:rPr>
      </w:pPr>
    </w:p>
    <w:p>
      <w:pPr>
        <w:pStyle w:val="2"/>
        <w:ind w:firstLine="0"/>
        <w:jc w:val="center"/>
        <w:outlineLvl w:val="1"/>
        <w:rPr>
          <w:rFonts w:ascii="仿宋_GB2312" w:hAnsi="宋体"/>
          <w:b/>
          <w:bCs/>
          <w:sz w:val="44"/>
          <w:szCs w:val="44"/>
        </w:rPr>
      </w:pPr>
      <w:r>
        <w:rPr>
          <w:rFonts w:ascii="仿宋_GB2312" w:hAnsi="仿宋_GB2312"/>
          <w:b/>
          <w:bCs/>
          <w:sz w:val="44"/>
          <w:szCs w:val="44"/>
        </w:rPr>
        <w:t>目</w:t>
      </w:r>
      <w:r>
        <w:rPr>
          <w:rFonts w:ascii="仿宋_GB2312" w:hAnsi="宋体"/>
          <w:b/>
          <w:bCs/>
          <w:sz w:val="44"/>
          <w:szCs w:val="44"/>
        </w:rPr>
        <w:t xml:space="preserve">              </w:t>
      </w:r>
      <w:r>
        <w:rPr>
          <w:rFonts w:ascii="仿宋_GB2312" w:hAnsi="仿宋_GB2312"/>
          <w:b/>
          <w:bCs/>
          <w:sz w:val="44"/>
          <w:szCs w:val="44"/>
        </w:rPr>
        <w:t>录</w:t>
      </w:r>
    </w:p>
    <w:p>
      <w:pPr>
        <w:rPr>
          <w:rFonts w:ascii="仿宋_GB2312" w:hAnsi="仿宋_GB2312"/>
          <w:sz w:val="44"/>
          <w:szCs w:val="44"/>
        </w:rPr>
      </w:pPr>
      <w:r>
        <w:rPr>
          <w:rFonts w:ascii="仿宋_GB2312" w:hAnsi="仿宋_GB2312"/>
          <w:sz w:val="44"/>
          <w:szCs w:val="44"/>
        </w:rPr>
        <w:t xml:space="preserve"> </w:t>
      </w:r>
    </w:p>
    <w:p>
      <w:pPr>
        <w:rPr>
          <w:rFonts w:ascii="仿宋_GB2312" w:hAnsi="宋体"/>
          <w:sz w:val="32"/>
          <w:szCs w:val="32"/>
        </w:rPr>
      </w:pPr>
      <w:r>
        <w:rPr>
          <w:rFonts w:ascii="仿宋_GB2312" w:hAnsi="仿宋_GB2312"/>
          <w:sz w:val="28"/>
          <w:szCs w:val="28"/>
        </w:rPr>
        <w:t>（</w:t>
      </w:r>
      <w:r>
        <w:rPr>
          <w:rFonts w:ascii="仿宋_GB2312" w:hAnsi="仿宋_GB2312"/>
          <w:sz w:val="32"/>
          <w:szCs w:val="32"/>
        </w:rPr>
        <w:t>一）</w:t>
      </w:r>
      <w:r>
        <w:rPr>
          <w:rFonts w:ascii="仿宋_GB2312" w:hAnsi="仿宋_GB2312"/>
          <w:sz w:val="36"/>
          <w:szCs w:val="36"/>
        </w:rPr>
        <w:t>综治工作经费</w:t>
      </w:r>
      <w:r>
        <w:rPr>
          <w:rFonts w:ascii="仿宋_GB2312" w:hAnsi="仿宋_GB2312"/>
          <w:sz w:val="32"/>
          <w:szCs w:val="32"/>
        </w:rPr>
        <w:t>项目绩效自评报告</w:t>
      </w:r>
    </w:p>
    <w:p>
      <w:pPr>
        <w:rPr>
          <w:rFonts w:ascii="仿宋_GB2312" w:hAnsi="宋体"/>
          <w:sz w:val="32"/>
          <w:szCs w:val="32"/>
        </w:rPr>
      </w:pPr>
      <w:r>
        <w:rPr>
          <w:rFonts w:ascii="仿宋_GB2312" w:hAnsi="仿宋_GB2312"/>
          <w:sz w:val="32"/>
          <w:szCs w:val="32"/>
        </w:rPr>
        <w:t>（二）</w:t>
      </w:r>
      <w:r>
        <w:rPr>
          <w:rFonts w:ascii="仿宋_GB2312" w:hAnsi="仿宋_GB2312"/>
          <w:sz w:val="36"/>
          <w:szCs w:val="36"/>
        </w:rPr>
        <w:t>综治工作经费</w:t>
      </w:r>
      <w:r>
        <w:rPr>
          <w:rFonts w:ascii="仿宋_GB2312" w:hAnsi="仿宋_GB2312"/>
          <w:sz w:val="32"/>
          <w:szCs w:val="32"/>
        </w:rPr>
        <w:t>项目绩效自评表</w:t>
      </w:r>
    </w:p>
    <w:p>
      <w:pPr>
        <w:rPr>
          <w:rFonts w:ascii="仿宋_GB2312" w:hAnsi="宋体"/>
          <w:sz w:val="32"/>
          <w:szCs w:val="32"/>
        </w:rPr>
      </w:pPr>
      <w:r>
        <w:rPr>
          <w:rFonts w:ascii="仿宋_GB2312" w:hAnsi="仿宋_GB2312"/>
          <w:sz w:val="32"/>
          <w:szCs w:val="32"/>
        </w:rPr>
        <w:t>（三）</w:t>
      </w:r>
      <w:r>
        <w:rPr>
          <w:rFonts w:ascii="仿宋_GB2312" w:hAnsi="仿宋_GB2312"/>
          <w:sz w:val="36"/>
          <w:szCs w:val="36"/>
        </w:rPr>
        <w:t>综治工作经费</w:t>
      </w:r>
      <w:r>
        <w:rPr>
          <w:rFonts w:ascii="仿宋_GB2312" w:hAnsi="仿宋_GB2312"/>
          <w:sz w:val="32"/>
          <w:szCs w:val="32"/>
        </w:rPr>
        <w:t>绩效管理领导小组名单</w:t>
      </w:r>
    </w:p>
    <w:p>
      <w:pPr>
        <w:rPr>
          <w:rFonts w:ascii="仿宋_GB2312" w:hAnsi="仿宋_GB2312"/>
          <w:sz w:val="32"/>
          <w:szCs w:val="32"/>
        </w:rPr>
      </w:pPr>
      <w:r>
        <w:rPr>
          <w:rFonts w:ascii="仿宋_GB2312" w:hAnsi="仿宋_GB2312"/>
          <w:sz w:val="32"/>
          <w:szCs w:val="3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ascii="仿宋_GB2312" w:hAnsi="仿宋_GB2312"/>
        </w:rPr>
      </w:pPr>
      <w:r>
        <w:rPr>
          <w:rFonts w:ascii="仿宋_GB2312" w:hAnsi="仿宋_GB2312"/>
        </w:rPr>
        <w:t xml:space="preserve"> </w:t>
      </w:r>
    </w:p>
    <w:p>
      <w:pPr>
        <w:rPr>
          <w:rFonts w:hint="eastAsia" w:ascii="仿宋_GB2312" w:hAnsi="仿宋_GB2312"/>
        </w:rPr>
      </w:pPr>
      <w:r>
        <w:rPr>
          <w:rFonts w:ascii="仿宋_GB2312" w:hAnsi="仿宋_GB2312"/>
        </w:rPr>
        <w:t xml:space="preserve"> </w:t>
      </w: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ascii="仿宋_GB2312" w:hAnsi="仿宋_GB2312"/>
        </w:rPr>
      </w:pPr>
    </w:p>
    <w:p>
      <w:pPr>
        <w:jc w:val="center"/>
        <w:rPr>
          <w:rFonts w:ascii="方正小标宋简体" w:hAnsi="方正小标宋简体"/>
          <w:sz w:val="44"/>
          <w:szCs w:val="44"/>
        </w:rPr>
      </w:pPr>
      <w:r>
        <w:rPr>
          <w:rFonts w:ascii="方正小标宋简体" w:hAnsi="方正小标宋简体"/>
          <w:sz w:val="44"/>
          <w:szCs w:val="44"/>
        </w:rPr>
        <w:t>2017年综治工作经费项目</w:t>
      </w:r>
    </w:p>
    <w:p>
      <w:pPr>
        <w:jc w:val="center"/>
        <w:rPr>
          <w:rFonts w:ascii="方正小标宋简体" w:hAnsi="方正小标宋简体"/>
          <w:sz w:val="44"/>
          <w:szCs w:val="44"/>
        </w:rPr>
      </w:pPr>
      <w:r>
        <w:rPr>
          <w:rFonts w:ascii="方正小标宋简体" w:hAnsi="方正小标宋简体"/>
          <w:sz w:val="44"/>
          <w:szCs w:val="44"/>
        </w:rPr>
        <w:t>绩效评价自评报告</w:t>
      </w:r>
    </w:p>
    <w:p>
      <w:pPr>
        <w:jc w:val="center"/>
        <w:rPr>
          <w:rFonts w:ascii="仿宋_GB2312" w:hAnsi="仿宋_GB2312"/>
          <w:sz w:val="36"/>
          <w:szCs w:val="36"/>
        </w:rPr>
      </w:pPr>
      <w:r>
        <w:rPr>
          <w:rFonts w:ascii="仿宋_GB2312" w:hAnsi="仿宋_GB2312"/>
          <w:sz w:val="36"/>
          <w:szCs w:val="36"/>
        </w:rPr>
        <w:t xml:space="preserve"> </w:t>
      </w:r>
    </w:p>
    <w:p>
      <w:pPr>
        <w:ind w:firstLine="643" w:firstLineChars="200"/>
        <w:rPr>
          <w:rFonts w:ascii="仿宋" w:hAnsi="仿宋" w:eastAsia="仿宋"/>
          <w:b/>
          <w:bCs/>
          <w:sz w:val="32"/>
          <w:szCs w:val="32"/>
        </w:rPr>
      </w:pPr>
      <w:r>
        <w:rPr>
          <w:rFonts w:hint="eastAsia" w:ascii="仿宋" w:hAnsi="仿宋" w:eastAsia="仿宋"/>
          <w:b/>
          <w:bCs/>
          <w:sz w:val="32"/>
          <w:szCs w:val="32"/>
        </w:rPr>
        <w:t>一、项目总体情况</w:t>
      </w:r>
    </w:p>
    <w:p>
      <w:pPr>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2017年，东街综合治理办按照“夯实基础、突出重点、确保平安”的工作思路，以维护社会稳定为目标，以人民满意为标准，全面开展专项整治，不断深化“平安街道”建设，筑牢治安防线，打牢和谐基石，圆满完成了重点时期的安全维稳工作任务，治安形势良好，辖区盗窃警情下降明显（较2016年下降27.28%），获评“福州市社会管理综合治理先进集体”。</w:t>
      </w:r>
    </w:p>
    <w:p>
      <w:pPr>
        <w:ind w:firstLine="640" w:firstLineChars="200"/>
        <w:rPr>
          <w:rFonts w:hint="eastAsia" w:ascii="仿宋" w:hAnsi="仿宋" w:eastAsia="仿宋"/>
          <w:sz w:val="32"/>
          <w:szCs w:val="32"/>
        </w:rPr>
      </w:pPr>
      <w:r>
        <w:rPr>
          <w:rFonts w:hint="eastAsia" w:ascii="仿宋" w:hAnsi="仿宋" w:eastAsia="仿宋"/>
          <w:sz w:val="32"/>
          <w:szCs w:val="32"/>
        </w:rPr>
        <w:t>具体做法如下：年初就把综治工作纳入了街道工作的总体规划，制定了实施意见和工作规划，及时调整了综治工作领导小组,</w:t>
      </w:r>
      <w:r>
        <w:rPr>
          <w:rFonts w:hint="eastAsia" w:ascii="仿宋" w:hAnsi="仿宋" w:eastAsia="仿宋"/>
        </w:rPr>
        <w:t xml:space="preserve"> </w:t>
      </w:r>
      <w:r>
        <w:rPr>
          <w:rFonts w:hint="eastAsia" w:ascii="仿宋" w:hAnsi="仿宋" w:eastAsia="仿宋"/>
          <w:sz w:val="32"/>
          <w:szCs w:val="32"/>
        </w:rPr>
        <w:t>按照工作要求，街道每月定期召开综治工作例会，每季度召开点评会分析治安情况。街道经常在党政联席会上研究分析维稳工作，有针对的总结前一段时间的工作，认真研究部署下一阶段的工作任务。强化治安巡防，东街街道作为福州市首个试点单位率先探索使用关联网格系统、公安情报中心的“e福州”平安管家APP，并加大财政投入，在区委专项经费的基础上，另拨经费聘请保安，每天及时在“平安管家”平台发布巡防任务，发放平安“三率”宣传单，宣传平安“三率”知识，利用巡逻小喇叭播放治安防范等友情提示，增强群众安全防范意识。东街维稳工作队每月绩效考评在十街镇中位居前列。</w:t>
      </w:r>
    </w:p>
    <w:p>
      <w:pPr>
        <w:ind w:firstLine="640" w:firstLineChars="200"/>
        <w:rPr>
          <w:rFonts w:hint="eastAsia" w:ascii="仿宋" w:hAnsi="仿宋" w:eastAsia="仿宋"/>
          <w:sz w:val="32"/>
          <w:szCs w:val="32"/>
        </w:rPr>
      </w:pPr>
      <w:r>
        <w:rPr>
          <w:rFonts w:hint="eastAsia" w:ascii="仿宋" w:hAnsi="仿宋" w:eastAsia="仿宋"/>
          <w:sz w:val="32"/>
          <w:szCs w:val="32"/>
        </w:rPr>
        <w:t>本项目2017年度预算申报数10万元，批复数10万元，年度预算增加28万元，当年实际到位38万元，支出37万元，其中0万元为上年结余结转资金。本年度共招聘保安5人增强辖区巡务。提升居民居住安全感。举办综治安全等宣传活动多场并向群众发放三率宣传单6000余份，提高“三率”知晓率，2017年东街</w:t>
      </w:r>
      <w:r>
        <w:rPr>
          <w:rFonts w:hint="eastAsia" w:ascii="仿宋" w:hAnsi="仿宋" w:eastAsia="仿宋" w:cs="仿宋_GB2312"/>
          <w:color w:val="000000"/>
          <w:sz w:val="32"/>
          <w:szCs w:val="32"/>
        </w:rPr>
        <w:t>获评“福州市社会管理综合治理先进集体”。</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二、项目绩效评价结论</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（一）项目绩效自评得分及等级</w:t>
      </w:r>
    </w:p>
    <w:p>
      <w:pPr>
        <w:ind w:firstLine="640" w:firstLineChars="200"/>
        <w:rPr>
          <w:rFonts w:hint="eastAsia" w:ascii="仿宋" w:hAnsi="仿宋" w:eastAsia="仿宋"/>
          <w:sz w:val="32"/>
          <w:szCs w:val="32"/>
        </w:rPr>
      </w:pPr>
      <w:r>
        <w:rPr>
          <w:rFonts w:hint="eastAsia" w:ascii="仿宋" w:hAnsi="仿宋" w:eastAsia="仿宋"/>
          <w:sz w:val="32"/>
          <w:szCs w:val="32"/>
        </w:rPr>
        <w:t>项目绩效评价得分</w:t>
      </w:r>
      <w:r>
        <w:rPr>
          <w:rFonts w:hint="eastAsia" w:ascii="仿宋" w:hAnsi="仿宋" w:eastAsia="仿宋"/>
          <w:sz w:val="32"/>
          <w:szCs w:val="32"/>
          <w:lang w:val="en-US" w:eastAsia="zh-CN"/>
        </w:rPr>
        <w:t>83</w:t>
      </w:r>
      <w:r>
        <w:rPr>
          <w:rFonts w:hint="eastAsia" w:ascii="仿宋" w:hAnsi="仿宋" w:eastAsia="仿宋"/>
          <w:sz w:val="32"/>
          <w:szCs w:val="32"/>
        </w:rPr>
        <w:t>.08分，等级为良。</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（二）项目期初绩效目标实现情况分析</w:t>
      </w:r>
    </w:p>
    <w:p>
      <w:pPr>
        <w:ind w:firstLine="640" w:firstLineChars="200"/>
        <w:rPr>
          <w:rFonts w:hint="eastAsia" w:ascii="仿宋" w:hAnsi="仿宋" w:eastAsia="仿宋"/>
          <w:sz w:val="32"/>
          <w:szCs w:val="32"/>
        </w:rPr>
      </w:pPr>
      <w:r>
        <w:rPr>
          <w:rFonts w:hint="eastAsia" w:ascii="仿宋" w:hAnsi="仿宋" w:eastAsia="仿宋"/>
          <w:sz w:val="32"/>
          <w:szCs w:val="32"/>
        </w:rPr>
        <w:t>本项目期初设置绩效目标3个，实际3个，具体情况如下：</w:t>
      </w:r>
    </w:p>
    <w:p>
      <w:pPr>
        <w:ind w:firstLine="640" w:firstLineChars="200"/>
        <w:rPr>
          <w:rFonts w:hint="eastAsia" w:ascii="仿宋" w:hAnsi="仿宋" w:eastAsia="仿宋"/>
          <w:sz w:val="32"/>
          <w:szCs w:val="32"/>
        </w:rPr>
      </w:pPr>
      <w:r>
        <w:rPr>
          <w:rFonts w:hint="eastAsia" w:ascii="仿宋" w:hAnsi="仿宋" w:eastAsia="仿宋"/>
          <w:sz w:val="32"/>
          <w:szCs w:val="32"/>
        </w:rPr>
        <w:t>1.投入-成本目标-预算执行率</w:t>
      </w:r>
      <w:r>
        <w:rPr>
          <w:rFonts w:hint="eastAsia" w:ascii="宋体" w:hAnsi="宋体"/>
          <w:sz w:val="32"/>
          <w:szCs w:val="32"/>
        </w:rPr>
        <w:t>≧</w:t>
      </w:r>
      <w:r>
        <w:rPr>
          <w:rFonts w:hint="eastAsia" w:ascii="仿宋" w:hAnsi="仿宋" w:eastAsia="仿宋"/>
          <w:sz w:val="32"/>
          <w:szCs w:val="32"/>
        </w:rPr>
        <w:t xml:space="preserve">90%，实际完成97.37%； </w:t>
      </w:r>
    </w:p>
    <w:p>
      <w:pPr>
        <w:ind w:firstLine="640" w:firstLineChars="200"/>
        <w:rPr>
          <w:rFonts w:hint="eastAsia" w:ascii="仿宋" w:hAnsi="仿宋" w:eastAsia="仿宋"/>
          <w:sz w:val="32"/>
          <w:szCs w:val="32"/>
        </w:rPr>
      </w:pPr>
      <w:r>
        <w:rPr>
          <w:rFonts w:hint="eastAsia" w:ascii="仿宋" w:hAnsi="仿宋" w:eastAsia="仿宋"/>
          <w:sz w:val="32"/>
          <w:szCs w:val="32"/>
        </w:rPr>
        <w:t>2.产出-数量目标-聘用保安人数不低于4人，实际聘用5人；</w:t>
      </w:r>
    </w:p>
    <w:p>
      <w:pPr>
        <w:ind w:firstLine="640" w:firstLineChars="200"/>
        <w:rPr>
          <w:rFonts w:hint="eastAsia" w:ascii="仿宋" w:hAnsi="仿宋" w:eastAsia="仿宋"/>
          <w:sz w:val="32"/>
          <w:szCs w:val="32"/>
        </w:rPr>
      </w:pPr>
      <w:r>
        <w:rPr>
          <w:rFonts w:hint="eastAsia" w:ascii="仿宋" w:hAnsi="仿宋" w:eastAsia="仿宋"/>
          <w:sz w:val="32"/>
          <w:szCs w:val="32"/>
        </w:rPr>
        <w:t>3.效益-可持续影响目标-降低警情案件数-不高于1000件，实际757件。</w:t>
      </w:r>
    </w:p>
    <w:p>
      <w:pPr>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（三）项目实施过程中存在的问题和改进建议</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1.存在问题</w:t>
      </w:r>
    </w:p>
    <w:p>
      <w:pPr>
        <w:ind w:firstLine="640" w:firstLineChars="200"/>
        <w:rPr>
          <w:rFonts w:hint="eastAsia" w:ascii="仿宋" w:hAnsi="仿宋" w:eastAsia="仿宋"/>
          <w:kern w:val="0"/>
          <w:sz w:val="32"/>
          <w:szCs w:val="32"/>
        </w:rPr>
      </w:pPr>
      <w:r>
        <w:rPr>
          <w:rFonts w:hint="eastAsia" w:ascii="仿宋" w:hAnsi="仿宋" w:eastAsia="仿宋"/>
          <w:color w:val="000000"/>
          <w:sz w:val="32"/>
          <w:szCs w:val="32"/>
        </w:rPr>
        <w:t>2017年度，综治工作取得了阶段性成效，但距离上级的高标准要求还有差距，仍存在不足之处，主要表现在社区发展不平衡，</w:t>
      </w:r>
      <w:r>
        <w:rPr>
          <w:rFonts w:hint="eastAsia" w:ascii="仿宋" w:hAnsi="仿宋" w:eastAsia="仿宋"/>
          <w:kern w:val="0"/>
          <w:sz w:val="32"/>
          <w:szCs w:val="32"/>
        </w:rPr>
        <w:t>与广大群众的期望值还有一定差距。</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2.改进建议</w:t>
      </w:r>
    </w:p>
    <w:p>
      <w:pPr>
        <w:ind w:firstLine="640" w:firstLineChars="200"/>
        <w:rPr>
          <w:rFonts w:hint="eastAsia" w:ascii="仿宋" w:hAnsi="仿宋" w:eastAsia="仿宋"/>
          <w:kern w:val="0"/>
          <w:sz w:val="32"/>
          <w:szCs w:val="32"/>
        </w:rPr>
      </w:pPr>
      <w:r>
        <w:rPr>
          <w:rFonts w:hint="eastAsia" w:ascii="仿宋" w:hAnsi="仿宋" w:eastAsia="仿宋"/>
          <w:color w:val="000000"/>
          <w:sz w:val="32"/>
          <w:szCs w:val="32"/>
        </w:rPr>
        <w:t>发挥军门社区对其他3个社区的辐射带动作用，推动其他3个社区共同发展，实现社区综合治理从“独奏”到“合唱”的和谐局面。</w:t>
      </w:r>
    </w:p>
    <w:p>
      <w:pPr>
        <w:ind w:firstLine="472" w:firstLineChars="147"/>
        <w:rPr>
          <w:rFonts w:hint="eastAsia" w:ascii="仿宋" w:hAnsi="仿宋" w:eastAsia="仿宋"/>
          <w:b/>
          <w:bCs/>
          <w:kern w:val="0"/>
          <w:sz w:val="32"/>
          <w:szCs w:val="32"/>
        </w:rPr>
      </w:pPr>
      <w:r>
        <w:rPr>
          <w:rFonts w:hint="eastAsia" w:ascii="仿宋" w:hAnsi="仿宋" w:eastAsia="仿宋"/>
          <w:b/>
          <w:bCs/>
          <w:kern w:val="0"/>
          <w:sz w:val="32"/>
          <w:szCs w:val="32"/>
        </w:rPr>
        <w:t>（四）绩效评价指标得分具体分析</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1.投入类共性指标分值18分，得分17.68分，其中：</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（1）时效情况-目标完成率</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评分标准：分值6分，目标完成率A=目标实际完成数量/期初目标编制数量,得分为6×A。</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实际情况：目标完成率=3条/3条</w:t>
      </w:r>
      <w:r>
        <w:rPr>
          <w:rFonts w:ascii="Arial" w:hAnsi="Arial" w:eastAsia="仿宋" w:cs="Arial"/>
          <w:kern w:val="0"/>
          <w:sz w:val="32"/>
          <w:szCs w:val="32"/>
        </w:rPr>
        <w:t>×</w:t>
      </w:r>
      <w:r>
        <w:rPr>
          <w:rFonts w:hint="eastAsia" w:ascii="仿宋" w:hAnsi="仿宋" w:eastAsia="仿宋"/>
          <w:kern w:val="0"/>
          <w:sz w:val="32"/>
          <w:szCs w:val="32"/>
        </w:rPr>
        <w:t>100%=100%。</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得分：6×100%=6分。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（2）支出情况-预算执行率</w:t>
      </w:r>
    </w:p>
    <w:p>
      <w:pPr>
        <w:ind w:firstLine="640" w:firstLineChars="200"/>
        <w:rPr>
          <w:rFonts w:hint="eastAsia" w:ascii="仿宋" w:hAnsi="仿宋" w:eastAsia="仿宋"/>
          <w:b/>
          <w:bCs/>
          <w:kern w:val="0"/>
          <w:sz w:val="32"/>
          <w:szCs w:val="32"/>
        </w:rPr>
      </w:pPr>
      <w:r>
        <w:rPr>
          <w:rFonts w:hint="eastAsia" w:ascii="仿宋" w:hAnsi="仿宋" w:eastAsia="仿宋"/>
          <w:kern w:val="0"/>
          <w:sz w:val="32"/>
          <w:szCs w:val="32"/>
        </w:rPr>
        <w:t>评分标准：分值6分，预算执行率B=当年预算对应的实际支出资金/当年度部门预算批复数×100%，B=100%时得分6分，B&lt;100%时得分为6×B</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实际情况：预算执行率=370000/380000 </w:t>
      </w:r>
      <w:r>
        <w:rPr>
          <w:rFonts w:ascii="Arial" w:hAnsi="Arial" w:eastAsia="仿宋" w:cs="Arial"/>
          <w:kern w:val="0"/>
          <w:sz w:val="32"/>
          <w:szCs w:val="32"/>
        </w:rPr>
        <w:t>×</w:t>
      </w:r>
      <w:r>
        <w:rPr>
          <w:rFonts w:hint="eastAsia" w:ascii="仿宋" w:hAnsi="仿宋" w:eastAsia="仿宋"/>
          <w:kern w:val="0"/>
          <w:sz w:val="32"/>
          <w:szCs w:val="32"/>
        </w:rPr>
        <w:t>100%=97.37%。</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得分：6×97.37%=5.84分。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（3）支出情况-资金使用率</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评分标准：分值6分，资金使用率C=当年预算对应的实际支出资金/财政部门核定额度数,得分为6×C。“财政部门核拨数”为0时，本项不得分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实际情况：资金使用率=370000/380000 </w:t>
      </w:r>
      <w:r>
        <w:rPr>
          <w:rFonts w:ascii="Arial" w:hAnsi="Arial" w:eastAsia="仿宋" w:cs="Arial"/>
          <w:kern w:val="0"/>
          <w:sz w:val="32"/>
          <w:szCs w:val="32"/>
        </w:rPr>
        <w:t>×</w:t>
      </w:r>
      <w:r>
        <w:rPr>
          <w:rFonts w:hint="eastAsia" w:ascii="仿宋" w:hAnsi="仿宋" w:eastAsia="仿宋"/>
          <w:kern w:val="0"/>
          <w:sz w:val="32"/>
          <w:szCs w:val="32"/>
        </w:rPr>
        <w:t>100%=97.37%。</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得分：6×97.37%=5.84分。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2.过程管理类共性指标分值46分，得分25.4分，其中：</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（1）绩效管理-预算绩效管理组织保障</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评分标准：分值6分，主管部门成立以主要领导或分管领导为组长的预算绩效管理领导小组得3分；项目单位按财政部门年度评价方案要求成立评价工作组得3分。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实际情况：成立了预算绩效管理领导小组，组长为东街街道办事处主任；成立了评价工作组，工作组成员均为副科以上或具备中级职称。</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得分：3+3=6分。</w:t>
      </w:r>
    </w:p>
    <w:p>
      <w:pPr>
        <w:ind w:firstLine="645"/>
        <w:rPr>
          <w:rFonts w:hint="eastAsia" w:ascii="仿宋" w:hAnsi="仿宋" w:eastAsia="仿宋"/>
          <w:kern w:val="0"/>
          <w:sz w:val="32"/>
          <w:szCs w:val="32"/>
        </w:rPr>
      </w:pPr>
      <w:r>
        <w:rPr>
          <w:rFonts w:hint="eastAsia" w:ascii="仿宋" w:hAnsi="仿宋" w:eastAsia="仿宋"/>
          <w:kern w:val="0"/>
          <w:sz w:val="32"/>
          <w:szCs w:val="32"/>
        </w:rPr>
        <w:t>（2）绩效管理-目标编制数量</w:t>
      </w:r>
    </w:p>
    <w:p>
      <w:pPr>
        <w:ind w:firstLine="645"/>
        <w:rPr>
          <w:rFonts w:hint="eastAsia" w:ascii="仿宋" w:hAnsi="仿宋" w:eastAsia="仿宋"/>
          <w:kern w:val="0"/>
          <w:sz w:val="32"/>
          <w:szCs w:val="32"/>
        </w:rPr>
      </w:pPr>
      <w:r>
        <w:rPr>
          <w:rFonts w:hint="eastAsia" w:ascii="仿宋" w:hAnsi="仿宋" w:eastAsia="仿宋"/>
          <w:kern w:val="0"/>
          <w:sz w:val="32"/>
          <w:szCs w:val="32"/>
        </w:rPr>
        <w:t>评分标准：分值3分，期初每编制1个绩效目标得0.3分，本项最高3。</w:t>
      </w:r>
    </w:p>
    <w:p>
      <w:pPr>
        <w:ind w:firstLine="645"/>
        <w:rPr>
          <w:rFonts w:hint="eastAsia" w:ascii="仿宋" w:hAnsi="仿宋" w:eastAsia="仿宋"/>
          <w:kern w:val="0"/>
          <w:sz w:val="32"/>
          <w:szCs w:val="32"/>
        </w:rPr>
      </w:pPr>
      <w:r>
        <w:rPr>
          <w:rFonts w:hint="eastAsia" w:ascii="仿宋" w:hAnsi="仿宋" w:eastAsia="仿宋"/>
          <w:kern w:val="0"/>
          <w:sz w:val="32"/>
          <w:szCs w:val="32"/>
        </w:rPr>
        <w:t>实际情况：期初编制3个绩效目标。</w:t>
      </w:r>
    </w:p>
    <w:p>
      <w:pPr>
        <w:ind w:firstLine="645"/>
        <w:rPr>
          <w:rFonts w:hint="eastAsia" w:ascii="仿宋" w:hAnsi="仿宋" w:eastAsia="仿宋"/>
          <w:kern w:val="0"/>
          <w:sz w:val="32"/>
          <w:szCs w:val="32"/>
        </w:rPr>
      </w:pPr>
      <w:r>
        <w:rPr>
          <w:rFonts w:hint="eastAsia" w:ascii="仿宋" w:hAnsi="仿宋" w:eastAsia="仿宋"/>
          <w:kern w:val="0"/>
          <w:sz w:val="32"/>
          <w:szCs w:val="32"/>
        </w:rPr>
        <w:t>得分：3×0.3=0.9分。</w:t>
      </w:r>
    </w:p>
    <w:p>
      <w:pPr>
        <w:ind w:firstLine="645"/>
        <w:rPr>
          <w:rFonts w:hint="eastAsia" w:ascii="仿宋" w:hAnsi="仿宋" w:eastAsia="仿宋"/>
          <w:kern w:val="0"/>
          <w:sz w:val="32"/>
          <w:szCs w:val="32"/>
        </w:rPr>
      </w:pPr>
      <w:r>
        <w:rPr>
          <w:rFonts w:hint="eastAsia" w:ascii="仿宋" w:hAnsi="仿宋" w:eastAsia="仿宋"/>
          <w:kern w:val="0"/>
          <w:sz w:val="32"/>
          <w:szCs w:val="32"/>
        </w:rPr>
        <w:t>（3）绩效管理-目标个性化程度</w:t>
      </w:r>
    </w:p>
    <w:p>
      <w:pPr>
        <w:ind w:firstLine="645"/>
        <w:rPr>
          <w:rFonts w:hint="eastAsia" w:ascii="仿宋" w:hAnsi="仿宋" w:eastAsia="仿宋"/>
          <w:kern w:val="0"/>
          <w:sz w:val="32"/>
          <w:szCs w:val="32"/>
        </w:rPr>
      </w:pPr>
      <w:r>
        <w:rPr>
          <w:rFonts w:hint="eastAsia" w:ascii="仿宋" w:hAnsi="仿宋" w:eastAsia="仿宋"/>
          <w:kern w:val="0"/>
          <w:sz w:val="32"/>
          <w:szCs w:val="32"/>
        </w:rPr>
        <w:t>评分标准：分值5分，编制充分反映项目专业特点的“产出与效益”类个性指标的，每1个个性指标得0.5分，本项最高5分。</w:t>
      </w:r>
    </w:p>
    <w:p>
      <w:pPr>
        <w:ind w:firstLine="645"/>
        <w:rPr>
          <w:rFonts w:hint="eastAsia" w:ascii="仿宋" w:hAnsi="仿宋" w:eastAsia="仿宋"/>
          <w:kern w:val="0"/>
          <w:sz w:val="32"/>
          <w:szCs w:val="32"/>
        </w:rPr>
      </w:pPr>
      <w:r>
        <w:rPr>
          <w:rFonts w:hint="eastAsia" w:ascii="仿宋" w:hAnsi="仿宋" w:eastAsia="仿宋"/>
          <w:kern w:val="0"/>
          <w:sz w:val="32"/>
          <w:szCs w:val="32"/>
        </w:rPr>
        <w:t>实际情况：期初编制2个产出与效益类目标。</w:t>
      </w:r>
    </w:p>
    <w:p>
      <w:pPr>
        <w:ind w:firstLine="645"/>
        <w:rPr>
          <w:rFonts w:hint="eastAsia" w:ascii="仿宋" w:hAnsi="仿宋" w:eastAsia="仿宋"/>
          <w:kern w:val="0"/>
          <w:sz w:val="32"/>
          <w:szCs w:val="32"/>
        </w:rPr>
      </w:pPr>
      <w:r>
        <w:rPr>
          <w:rFonts w:hint="eastAsia" w:ascii="仿宋" w:hAnsi="仿宋" w:eastAsia="仿宋"/>
          <w:kern w:val="0"/>
          <w:sz w:val="32"/>
          <w:szCs w:val="32"/>
        </w:rPr>
        <w:t>得分：2×0.5=1分。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（4）绩效管理-目标全面程度</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评分标准：分值5分，编制的绩效目标全面涵盖投入、产出、效益类三类10种目标得5分，不满10种的按比例计分（如期初编制三类5种目标，得分为5</w:t>
      </w:r>
      <w:r>
        <w:rPr>
          <w:rFonts w:hint="eastAsia" w:ascii="宋体" w:hAnsi="宋体"/>
          <w:kern w:val="0"/>
          <w:sz w:val="32"/>
          <w:szCs w:val="32"/>
        </w:rPr>
        <w:t>×</w:t>
      </w:r>
      <w:r>
        <w:rPr>
          <w:rFonts w:hint="eastAsia" w:ascii="仿宋" w:hAnsi="仿宋" w:eastAsia="仿宋"/>
          <w:kern w:val="0"/>
          <w:sz w:val="32"/>
          <w:szCs w:val="32"/>
        </w:rPr>
        <w:t>5/10=2.5分）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实际情况：期初编制三类3目标。</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得分：5</w:t>
      </w:r>
      <w:r>
        <w:rPr>
          <w:rFonts w:hint="eastAsia" w:ascii="宋体" w:hAnsi="宋体"/>
          <w:kern w:val="0"/>
          <w:sz w:val="32"/>
          <w:szCs w:val="32"/>
        </w:rPr>
        <w:t>×</w:t>
      </w:r>
      <w:r>
        <w:rPr>
          <w:rFonts w:hint="eastAsia" w:ascii="仿宋" w:hAnsi="仿宋" w:eastAsia="仿宋"/>
          <w:kern w:val="0"/>
          <w:sz w:val="32"/>
          <w:szCs w:val="32"/>
        </w:rPr>
        <w:t>3/10=1.5分。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（5）绩效管理-目标完成质量</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评分标准：分值6分，目标完成质量D=所有期初效益目标完成程度的算术平均值，得分为6</w:t>
      </w:r>
      <w:r>
        <w:rPr>
          <w:rFonts w:hint="eastAsia" w:ascii="宋体" w:hAnsi="宋体"/>
          <w:kern w:val="0"/>
          <w:sz w:val="32"/>
          <w:szCs w:val="32"/>
        </w:rPr>
        <w:t>×D</w:t>
      </w:r>
    </w:p>
    <w:p>
      <w:pPr>
        <w:rPr>
          <w:rFonts w:hint="eastAsia" w:ascii="仿宋" w:hAnsi="仿宋" w:eastAsia="仿宋"/>
          <w:kern w:val="0"/>
          <w:sz w:val="32"/>
          <w:szCs w:val="32"/>
        </w:rPr>
      </w:pPr>
      <w:r>
        <w:rPr>
          <w:rFonts w:hint="eastAsia" w:ascii="仿宋" w:hAnsi="仿宋" w:eastAsia="仿宋"/>
          <w:kern w:val="0"/>
          <w:sz w:val="32"/>
          <w:szCs w:val="32"/>
        </w:rPr>
        <w:t>实际情况：目标完成质量=119%</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得分：6分 </w:t>
      </w:r>
    </w:p>
    <w:p>
      <w:pPr>
        <w:numPr>
          <w:ilvl w:val="0"/>
          <w:numId w:val="1"/>
        </w:numPr>
        <w:ind w:firstLine="640" w:firstLineChars="200"/>
        <w:rPr>
          <w:rFonts w:hint="eastAsia" w:ascii="仿宋" w:hAnsi="仿宋" w:eastAsia="仿宋"/>
          <w:kern w:val="0"/>
          <w:sz w:val="32"/>
          <w:szCs w:val="32"/>
        </w:rPr>
      </w:pPr>
      <w:r>
        <w:rPr>
          <w:rFonts w:hint="eastAsia" w:ascii="仿宋" w:hAnsi="仿宋" w:eastAsia="仿宋"/>
          <w:kern w:val="0"/>
          <w:sz w:val="32"/>
          <w:szCs w:val="32"/>
        </w:rPr>
        <w:t>绩效管理-预算执行监控情况</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评分标准：分值5分，项目单位开展预算执行监控并按要求填报监控表和监控报告。</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得分：5分</w:t>
      </w:r>
    </w:p>
    <w:p>
      <w:pPr>
        <w:numPr>
          <w:ilvl w:val="0"/>
          <w:numId w:val="1"/>
        </w:numPr>
        <w:ind w:firstLine="640" w:firstLineChars="200"/>
        <w:rPr>
          <w:rFonts w:hint="eastAsia" w:ascii="仿宋" w:hAnsi="仿宋" w:eastAsia="仿宋"/>
          <w:kern w:val="0"/>
          <w:sz w:val="32"/>
          <w:szCs w:val="32"/>
        </w:rPr>
      </w:pPr>
      <w:r>
        <w:rPr>
          <w:rFonts w:hint="eastAsia" w:ascii="仿宋" w:hAnsi="仿宋" w:eastAsia="仿宋"/>
          <w:kern w:val="0"/>
          <w:sz w:val="32"/>
          <w:szCs w:val="32"/>
        </w:rPr>
        <w:t>项目管理-财务管理制度健全性</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评分标准：分值2分，项目单位独立或会同其他单位共同制定项目资金管理办法</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得分：2分</w:t>
      </w:r>
    </w:p>
    <w:p>
      <w:pPr>
        <w:numPr>
          <w:ilvl w:val="0"/>
          <w:numId w:val="2"/>
        </w:numPr>
        <w:ind w:firstLine="640" w:firstLineChars="200"/>
        <w:rPr>
          <w:rFonts w:hint="eastAsia" w:ascii="仿宋" w:hAnsi="仿宋" w:eastAsia="仿宋"/>
          <w:kern w:val="0"/>
          <w:sz w:val="32"/>
          <w:szCs w:val="32"/>
        </w:rPr>
      </w:pPr>
      <w:r>
        <w:rPr>
          <w:rFonts w:hint="eastAsia" w:ascii="仿宋" w:hAnsi="仿宋" w:eastAsia="仿宋"/>
          <w:kern w:val="0"/>
          <w:sz w:val="32"/>
          <w:szCs w:val="32"/>
        </w:rPr>
        <w:t>项目管理-财务管理制度执行有效性</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评分标准：分值2分，资金管理符合相关项目资金管理办法得2分，有1处不符合扣0.5分，扣完为止。</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得分：2分</w:t>
      </w:r>
    </w:p>
    <w:p>
      <w:pPr>
        <w:numPr>
          <w:ilvl w:val="0"/>
          <w:numId w:val="2"/>
        </w:numPr>
        <w:ind w:firstLine="640" w:firstLineChars="200"/>
        <w:rPr>
          <w:rFonts w:hint="eastAsia" w:ascii="仿宋" w:hAnsi="仿宋" w:eastAsia="仿宋"/>
          <w:kern w:val="0"/>
          <w:sz w:val="32"/>
          <w:szCs w:val="32"/>
        </w:rPr>
      </w:pPr>
      <w:r>
        <w:rPr>
          <w:rFonts w:hint="eastAsia" w:ascii="仿宋" w:hAnsi="仿宋" w:eastAsia="仿宋"/>
          <w:kern w:val="0"/>
          <w:sz w:val="32"/>
          <w:szCs w:val="32"/>
        </w:rPr>
        <w:t>项目管理-业务部门自查情况</w:t>
      </w:r>
    </w:p>
    <w:p>
      <w:pPr>
        <w:ind w:firstLine="640"/>
        <w:rPr>
          <w:rFonts w:hint="eastAsia" w:ascii="仿宋" w:hAnsi="仿宋" w:eastAsia="仿宋"/>
          <w:kern w:val="0"/>
          <w:sz w:val="32"/>
          <w:szCs w:val="32"/>
        </w:rPr>
      </w:pPr>
      <w:r>
        <w:rPr>
          <w:rFonts w:hint="eastAsia" w:ascii="仿宋" w:hAnsi="仿宋" w:eastAsia="仿宋"/>
          <w:kern w:val="0"/>
          <w:sz w:val="32"/>
          <w:szCs w:val="32"/>
        </w:rPr>
        <w:t>评分标准：分值3分，业务部门对项目开展自查得1分，自查每发现1个问题并进行整改加0.5分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得分：1分</w:t>
      </w:r>
    </w:p>
    <w:p>
      <w:pPr>
        <w:numPr>
          <w:ilvl w:val="0"/>
          <w:numId w:val="2"/>
        </w:numPr>
        <w:ind w:left="0" w:leftChars="0" w:firstLine="640" w:firstLineChars="200"/>
        <w:rPr>
          <w:rFonts w:hint="eastAsia" w:ascii="仿宋" w:hAnsi="仿宋" w:eastAsia="仿宋"/>
          <w:kern w:val="0"/>
          <w:sz w:val="32"/>
          <w:szCs w:val="32"/>
          <w:lang w:eastAsia="zh-CN"/>
        </w:rPr>
      </w:pPr>
      <w:r>
        <w:rPr>
          <w:rFonts w:hint="eastAsia" w:ascii="仿宋" w:hAnsi="仿宋" w:eastAsia="仿宋"/>
          <w:kern w:val="0"/>
          <w:sz w:val="32"/>
          <w:szCs w:val="32"/>
        </w:rPr>
        <w:t>项目管理-</w:t>
      </w:r>
      <w:r>
        <w:rPr>
          <w:rFonts w:hint="eastAsia" w:ascii="仿宋" w:hAnsi="仿宋" w:eastAsia="仿宋"/>
          <w:kern w:val="0"/>
          <w:sz w:val="32"/>
          <w:szCs w:val="32"/>
          <w:lang w:eastAsia="zh-CN"/>
        </w:rPr>
        <w:t>项目管理制度健全</w:t>
      </w:r>
    </w:p>
    <w:p>
      <w:pPr>
        <w:numPr>
          <w:ilvl w:val="0"/>
          <w:numId w:val="0"/>
        </w:numPr>
        <w:ind w:firstLine="640"/>
        <w:rPr>
          <w:rFonts w:hint="eastAsia" w:ascii="仿宋" w:hAnsi="仿宋" w:eastAsia="仿宋"/>
          <w:kern w:val="0"/>
          <w:sz w:val="32"/>
          <w:szCs w:val="32"/>
          <w:lang w:val="en-US" w:eastAsia="zh-CN"/>
        </w:rPr>
      </w:pPr>
      <w:r>
        <w:rPr>
          <w:rFonts w:hint="eastAsia" w:ascii="仿宋" w:hAnsi="仿宋" w:eastAsia="仿宋"/>
          <w:kern w:val="0"/>
          <w:sz w:val="32"/>
          <w:szCs w:val="32"/>
        </w:rPr>
        <w:t>评分标准：分值</w:t>
      </w:r>
      <w:r>
        <w:rPr>
          <w:rFonts w:hint="eastAsia" w:ascii="仿宋" w:hAnsi="仿宋" w:eastAsia="仿宋"/>
          <w:kern w:val="0"/>
          <w:sz w:val="32"/>
          <w:szCs w:val="32"/>
          <w:lang w:val="en-US" w:eastAsia="zh-CN"/>
        </w:rPr>
        <w:t>2</w:t>
      </w:r>
      <w:r>
        <w:rPr>
          <w:rFonts w:hint="eastAsia" w:ascii="仿宋" w:hAnsi="仿宋" w:eastAsia="仿宋"/>
          <w:kern w:val="0"/>
          <w:sz w:val="32"/>
          <w:szCs w:val="32"/>
        </w:rPr>
        <w:t>分</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项目单位独立或会同其他单位共同制定项目相关管理制度</w:t>
      </w:r>
    </w:p>
    <w:p>
      <w:pPr>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rPr>
        <w:t>得分：2分</w:t>
      </w:r>
    </w:p>
    <w:p>
      <w:pPr>
        <w:numPr>
          <w:ilvl w:val="0"/>
          <w:numId w:val="2"/>
        </w:numPr>
        <w:ind w:left="0" w:leftChars="0"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rPr>
        <w:t>项目管理-</w:t>
      </w:r>
      <w:r>
        <w:rPr>
          <w:rFonts w:hint="eastAsia" w:ascii="仿宋" w:hAnsi="仿宋" w:eastAsia="仿宋"/>
          <w:kern w:val="0"/>
          <w:sz w:val="32"/>
          <w:szCs w:val="32"/>
          <w:lang w:eastAsia="zh-CN"/>
        </w:rPr>
        <w:t>项目管理制度执行有效性</w:t>
      </w:r>
    </w:p>
    <w:p>
      <w:pPr>
        <w:numPr>
          <w:ilvl w:val="0"/>
          <w:numId w:val="0"/>
        </w:numPr>
        <w:ind w:firstLine="640"/>
        <w:rPr>
          <w:rFonts w:hint="eastAsia" w:ascii="仿宋" w:hAnsi="仿宋" w:eastAsia="仿宋"/>
          <w:kern w:val="0"/>
          <w:sz w:val="32"/>
          <w:szCs w:val="32"/>
          <w:lang w:val="en-US" w:eastAsia="zh-CN"/>
        </w:rPr>
      </w:pPr>
      <w:r>
        <w:rPr>
          <w:rFonts w:hint="eastAsia" w:ascii="仿宋" w:hAnsi="仿宋" w:eastAsia="仿宋"/>
          <w:kern w:val="0"/>
          <w:sz w:val="32"/>
          <w:szCs w:val="32"/>
        </w:rPr>
        <w:t>评分标准：分值</w:t>
      </w:r>
      <w:r>
        <w:rPr>
          <w:rFonts w:hint="eastAsia" w:ascii="仿宋" w:hAnsi="仿宋" w:eastAsia="仿宋"/>
          <w:kern w:val="0"/>
          <w:sz w:val="32"/>
          <w:szCs w:val="32"/>
          <w:lang w:val="en-US" w:eastAsia="zh-CN"/>
        </w:rPr>
        <w:t>2</w:t>
      </w:r>
      <w:r>
        <w:rPr>
          <w:rFonts w:hint="eastAsia" w:ascii="仿宋" w:hAnsi="仿宋" w:eastAsia="仿宋"/>
          <w:kern w:val="0"/>
          <w:sz w:val="32"/>
          <w:szCs w:val="32"/>
        </w:rPr>
        <w:t>分</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项目管理符合相关项目管理制度</w:t>
      </w:r>
    </w:p>
    <w:p>
      <w:pPr>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rPr>
        <w:t>得分：2分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3.绩效自评个性指标分值36分，得分36，其中：</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（1）产出与效益-产出数量</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评分标准：本指标12分。本指标12分。实际完成值优于预设值预算执行率 （期初绩效目标值：90% ）得满分，未完成预设值时得分为：指标分值×（实际完成值/预设值）。</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实际情况：预算执行率97.37%</w:t>
      </w:r>
      <w:r>
        <w:rPr>
          <w:rFonts w:hint="eastAsia" w:ascii="宋体" w:hAnsi="宋体"/>
          <w:kern w:val="0"/>
          <w:sz w:val="32"/>
          <w:szCs w:val="32"/>
        </w:rPr>
        <w:t>&gt;</w:t>
      </w:r>
      <w:r>
        <w:rPr>
          <w:rFonts w:hint="eastAsia" w:ascii="仿宋" w:hAnsi="仿宋" w:eastAsia="仿宋"/>
          <w:kern w:val="0"/>
          <w:sz w:val="32"/>
          <w:szCs w:val="32"/>
        </w:rPr>
        <w:t>90%</w:t>
      </w:r>
    </w:p>
    <w:p>
      <w:pPr>
        <w:ind w:firstLine="645"/>
        <w:rPr>
          <w:rFonts w:hint="eastAsia" w:ascii="仿宋" w:hAnsi="仿宋" w:eastAsia="仿宋"/>
          <w:kern w:val="0"/>
          <w:sz w:val="32"/>
          <w:szCs w:val="32"/>
        </w:rPr>
      </w:pPr>
      <w:r>
        <w:rPr>
          <w:rFonts w:hint="eastAsia" w:ascii="仿宋" w:hAnsi="仿宋" w:eastAsia="仿宋"/>
          <w:kern w:val="0"/>
          <w:sz w:val="32"/>
          <w:szCs w:val="32"/>
        </w:rPr>
        <w:t>得分：12分</w:t>
      </w:r>
    </w:p>
    <w:p>
      <w:pPr>
        <w:numPr>
          <w:ilvl w:val="0"/>
          <w:numId w:val="3"/>
        </w:numPr>
        <w:ind w:firstLine="640" w:firstLineChars="200"/>
        <w:rPr>
          <w:rFonts w:hint="eastAsia" w:ascii="仿宋" w:hAnsi="仿宋" w:eastAsia="仿宋"/>
          <w:kern w:val="0"/>
          <w:sz w:val="32"/>
          <w:szCs w:val="32"/>
        </w:rPr>
      </w:pPr>
      <w:r>
        <w:rPr>
          <w:rFonts w:hint="eastAsia" w:ascii="仿宋" w:hAnsi="仿宋" w:eastAsia="仿宋"/>
          <w:kern w:val="0"/>
          <w:sz w:val="32"/>
          <w:szCs w:val="32"/>
        </w:rPr>
        <w:t>产出与效益-产出质量</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评分标准：本指标12分。实际完成值优于预设值招聘保安人数（期初绩效目标值：≧4人）得满分，未完成预设值时得分为：指标分值×（实际完成值/预设值）。</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实际情况：招聘保安数5人</w:t>
      </w:r>
      <w:r>
        <w:rPr>
          <w:rFonts w:hint="eastAsia" w:ascii="宋体" w:hAnsi="宋体"/>
          <w:kern w:val="0"/>
          <w:sz w:val="32"/>
          <w:szCs w:val="32"/>
        </w:rPr>
        <w:t>&gt;4人</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得分：12分。</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（3）产出与效益-可持续效益</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本指标12分。实际完成值优于预设值警情案件数 （期初绩效目标值：≦1000件）得满分，未完成预设值时得分为：指标分值×（实际完成值/预设值）。</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实际情况：警情案件数757件</w:t>
      </w:r>
      <w:r>
        <w:rPr>
          <w:rFonts w:hint="eastAsia" w:ascii="宋体" w:hAnsi="宋体"/>
          <w:kern w:val="0"/>
          <w:sz w:val="32"/>
          <w:szCs w:val="32"/>
        </w:rPr>
        <w:t>&lt;1000件</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得分为：12分。</w:t>
      </w:r>
    </w:p>
    <w:p>
      <w:pPr>
        <w:ind w:firstLine="600"/>
        <w:rPr>
          <w:rFonts w:hint="eastAsia" w:ascii="仿宋" w:hAnsi="仿宋" w:eastAsia="仿宋"/>
          <w:sz w:val="32"/>
          <w:szCs w:val="32"/>
        </w:rPr>
      </w:pPr>
      <w:bookmarkStart w:id="0" w:name="_GoBack"/>
      <w:bookmarkEnd w:id="0"/>
      <w:r>
        <w:rPr>
          <w:rFonts w:hint="eastAsia"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2E11"/>
    <w:multiLevelType w:val="multilevel"/>
    <w:tmpl w:val="29862E11"/>
    <w:lvl w:ilvl="0" w:tentative="0">
      <w:start w:val="8"/>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B290B23"/>
    <w:multiLevelType w:val="multilevel"/>
    <w:tmpl w:val="5B290B2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F0F7DBE"/>
    <w:multiLevelType w:val="multilevel"/>
    <w:tmpl w:val="5F0F7DBE"/>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AE4"/>
    <w:rsid w:val="002A5AE4"/>
    <w:rsid w:val="00AB4800"/>
    <w:rsid w:val="318B428D"/>
    <w:rsid w:val="439D2B57"/>
    <w:rsid w:val="53471C8E"/>
    <w:rsid w:val="78DA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446</Words>
  <Characters>2547</Characters>
  <Lines>21</Lines>
  <Paragraphs>5</Paragraphs>
  <ScaleCrop>false</ScaleCrop>
  <LinksUpToDate>false</LinksUpToDate>
  <CharactersWithSpaces>2988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2018-12-11T02:15:00Z</dcterms:created>
  <dc:creator>hp</dc:creator>
  <cp:lastModifiedBy>hp</cp:lastModifiedBy>
  <cp:lastPrinted>2018-12-11T03:00:00Z</cp:lastPrinted>
  <dcterms:modified xsi:type="dcterms:W3CDTF">2018-12-11T07:42:45Z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