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color w:val="333333"/>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color w:val="333333"/>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color w:val="333333"/>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color w:val="333333"/>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color w:val="333333"/>
          <w:kern w:val="0"/>
          <w:sz w:val="36"/>
          <w:szCs w:val="36"/>
        </w:rPr>
      </w:pPr>
      <w:r>
        <w:rPr>
          <w:rFonts w:hint="eastAsia" w:ascii="方正小标宋简体" w:hAnsi="方正小标宋简体" w:eastAsia="方正小标宋简体" w:cs="方正小标宋简体"/>
          <w:color w:val="333333"/>
          <w:kern w:val="0"/>
          <w:sz w:val="36"/>
          <w:szCs w:val="36"/>
        </w:rPr>
        <w:t>鼓楼区区级财政专项资金领域守信激励</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color w:val="333333"/>
          <w:kern w:val="0"/>
          <w:sz w:val="36"/>
          <w:szCs w:val="36"/>
        </w:rPr>
      </w:pPr>
      <w:r>
        <w:rPr>
          <w:rFonts w:hint="eastAsia" w:ascii="方正小标宋简体" w:hAnsi="方正小标宋简体" w:eastAsia="方正小标宋简体" w:cs="方正小标宋简体"/>
          <w:color w:val="333333"/>
          <w:kern w:val="0"/>
          <w:sz w:val="36"/>
          <w:szCs w:val="36"/>
        </w:rPr>
        <w:t>和失信惩戒暂行办法</w:t>
      </w:r>
    </w:p>
    <w:p>
      <w:pPr>
        <w:widowControl/>
        <w:shd w:val="clear" w:color="auto" w:fill="FFFFFF"/>
        <w:spacing w:line="432" w:lineRule="atLeast"/>
        <w:ind w:firstLine="359"/>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rightChars="0" w:firstLine="600" w:firstLineChars="200"/>
        <w:jc w:val="both"/>
        <w:textAlignment w:val="auto"/>
        <w:outlineLvl w:val="9"/>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为</w:t>
      </w:r>
      <w:r>
        <w:rPr>
          <w:rFonts w:hint="eastAsia" w:ascii="仿宋" w:hAnsi="仿宋" w:eastAsia="仿宋" w:cs="仿宋"/>
          <w:color w:val="auto"/>
          <w:sz w:val="30"/>
          <w:szCs w:val="30"/>
          <w:highlight w:val="none"/>
          <w:shd w:val="clear" w:color="auto" w:fill="FFFFFF"/>
        </w:rPr>
        <w:t>健全社会信用体系，加快构建以信用为核心的新型市场监管体制，有利于进一步推动简政放权和政府职能转变，营造公平诚信的市场环境，建立完善守信联合激励和失信联合惩戒制度，加快推进社会诚信建设，</w:t>
      </w:r>
      <w:r>
        <w:rPr>
          <w:rFonts w:hint="eastAsia" w:ascii="仿宋" w:hAnsi="仿宋" w:eastAsia="仿宋" w:cs="仿宋"/>
          <w:color w:val="auto"/>
          <w:kern w:val="0"/>
          <w:sz w:val="30"/>
          <w:szCs w:val="30"/>
          <w:highlight w:val="none"/>
          <w:lang w:eastAsia="zh-CN"/>
        </w:rPr>
        <w:t>根据</w:t>
      </w:r>
      <w:r>
        <w:rPr>
          <w:rFonts w:hint="eastAsia" w:ascii="仿宋" w:hAnsi="仿宋" w:eastAsia="仿宋" w:cs="仿宋"/>
          <w:color w:val="auto"/>
          <w:kern w:val="0"/>
          <w:sz w:val="30"/>
          <w:szCs w:val="30"/>
          <w:highlight w:val="none"/>
        </w:rPr>
        <w:t>国家发改委等26个部门《关于对严重质量违法失信行为当事人实施联合惩戒的合作备忘录》（发改财金〔2016〕2202号）、《福州市人民政府办公厅印发关于落实社会信用建设规划提升城市信用水平的工作方案的通知》（榕政办〔2016〕261号）、</w:t>
      </w:r>
      <w:r>
        <w:rPr>
          <w:rFonts w:hint="eastAsia" w:ascii="仿宋" w:hAnsi="仿宋" w:eastAsia="仿宋" w:cs="仿宋"/>
          <w:color w:val="auto"/>
          <w:sz w:val="30"/>
          <w:szCs w:val="30"/>
          <w:highlight w:val="none"/>
        </w:rPr>
        <w:t>《市级财政专项资金领域守信激励和失信惩戒暂行办法》</w:t>
      </w:r>
      <w:r>
        <w:rPr>
          <w:rFonts w:hint="eastAsia" w:ascii="仿宋" w:hAnsi="仿宋" w:eastAsia="仿宋" w:cs="仿宋"/>
          <w:color w:val="auto"/>
          <w:kern w:val="0"/>
          <w:sz w:val="30"/>
          <w:szCs w:val="30"/>
          <w:highlight w:val="none"/>
        </w:rPr>
        <w:t>等文件要求，推进我区社会信用体系建设，提高区级专项资金管理水平，现就有关事项规定如下：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黑体" w:hAnsi="黑体" w:eastAsia="黑体" w:cs="黑体"/>
          <w:color w:val="333333"/>
          <w:kern w:val="0"/>
          <w:sz w:val="30"/>
          <w:szCs w:val="30"/>
          <w:highlight w:val="none"/>
        </w:rPr>
        <w:t>一、信用信息应用范围</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区级一般公共预算、国有资本经营预算安排用于支持全区经济社会发展、服务特定政策目标或工作任务、具有专门用途的各类财政资金（以下简称区级专项资金)，在项目申报、资金审核、跟踪监督等环节，全面应用信用信息。</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中央、省、市级下达我区的专项转移支付资金，参照市级专项资金管理中应用信用信息的相关要求执行。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黑体" w:hAnsi="黑体" w:eastAsia="黑体" w:cs="黑体"/>
          <w:color w:val="333333"/>
          <w:kern w:val="0"/>
          <w:sz w:val="30"/>
          <w:szCs w:val="30"/>
          <w:highlight w:val="none"/>
        </w:rPr>
        <w:t>二、实施对象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1、守信激励对象：依法依规使用区级专项资金的机关、事业单位、企业及个人。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2、失信惩戒对象：违法违规使用区级专项资金的机关、事业单位、企业及个人。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黑体" w:hAnsi="黑体" w:eastAsia="黑体" w:cs="黑体"/>
          <w:color w:val="333333"/>
          <w:kern w:val="0"/>
          <w:sz w:val="30"/>
          <w:szCs w:val="30"/>
          <w:highlight w:val="none"/>
        </w:rPr>
      </w:pPr>
      <w:r>
        <w:rPr>
          <w:rFonts w:hint="eastAsia" w:ascii="黑体" w:hAnsi="黑体" w:eastAsia="黑体" w:cs="黑体"/>
          <w:color w:val="333333"/>
          <w:kern w:val="0"/>
          <w:sz w:val="30"/>
          <w:szCs w:val="30"/>
          <w:highlight w:val="none"/>
        </w:rPr>
        <w:t>三、守信行为和严重失信行为的界定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楷体" w:hAnsi="楷体" w:eastAsia="楷体" w:cs="楷体"/>
          <w:color w:val="333333"/>
          <w:kern w:val="0"/>
          <w:sz w:val="30"/>
          <w:szCs w:val="30"/>
          <w:highlight w:val="none"/>
        </w:rPr>
      </w:pPr>
      <w:r>
        <w:rPr>
          <w:rFonts w:hint="eastAsia" w:ascii="楷体" w:hAnsi="楷体" w:eastAsia="楷体" w:cs="楷体"/>
          <w:color w:val="333333"/>
          <w:kern w:val="0"/>
          <w:sz w:val="30"/>
          <w:szCs w:val="30"/>
          <w:highlight w:val="none"/>
        </w:rPr>
        <w:t>（一）守信行为的界定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依规使用各类财政资金，经区级财政部门或由区级相关主管部门会同区级财政部门根据信用审查情况认定的信用良好的部门、单位或个人方可认定为守信部门（单位）。</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楷体" w:hAnsi="楷体" w:eastAsia="楷体" w:cs="楷体"/>
          <w:color w:val="333333"/>
          <w:kern w:val="0"/>
          <w:sz w:val="30"/>
          <w:szCs w:val="30"/>
          <w:highlight w:val="none"/>
        </w:rPr>
      </w:pPr>
      <w:r>
        <w:rPr>
          <w:rFonts w:hint="eastAsia" w:ascii="楷体" w:hAnsi="楷体" w:eastAsia="楷体" w:cs="楷体"/>
          <w:color w:val="333333"/>
          <w:kern w:val="0"/>
          <w:sz w:val="30"/>
          <w:szCs w:val="30"/>
          <w:highlight w:val="none"/>
        </w:rPr>
        <w:t>（二）严重失信行为的界定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违规使用各类财政资金，经区级财政部门或由区级相关主管部门会同区级财政部门认定存在严重失信行为的部门、单位或个人。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黑体" w:hAnsi="黑体" w:eastAsia="黑体" w:cs="黑体"/>
          <w:color w:val="333333"/>
          <w:kern w:val="0"/>
          <w:sz w:val="30"/>
          <w:szCs w:val="30"/>
          <w:highlight w:val="none"/>
        </w:rPr>
        <w:t>四、财政部门采取的奖惩措施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楷体" w:hAnsi="楷体" w:eastAsia="楷体" w:cs="楷体"/>
          <w:color w:val="333333"/>
          <w:kern w:val="0"/>
          <w:sz w:val="30"/>
          <w:szCs w:val="30"/>
          <w:highlight w:val="none"/>
        </w:rPr>
      </w:pPr>
      <w:r>
        <w:rPr>
          <w:rFonts w:hint="eastAsia" w:ascii="楷体" w:hAnsi="楷体" w:eastAsia="楷体" w:cs="楷体"/>
          <w:color w:val="333333"/>
          <w:kern w:val="0"/>
          <w:sz w:val="30"/>
          <w:szCs w:val="30"/>
          <w:highlight w:val="none"/>
        </w:rPr>
        <w:t>（一）守信激励措施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1、区级财政部门在日常监管中对经区级财政部门认定的守信对象或信用纪录优良的部门、单位或个人，适度减少日常监督检查，优先办理各项业务。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2、对区级财政部门认定的守信对象或信用纪录优良的部门、单位或个人，在同等条件下优先安排区级财政专项资金。</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楷体" w:hAnsi="楷体" w:eastAsia="楷体" w:cs="楷体"/>
          <w:color w:val="333333"/>
          <w:kern w:val="0"/>
          <w:sz w:val="30"/>
          <w:szCs w:val="30"/>
          <w:highlight w:val="none"/>
        </w:rPr>
        <w:t>（二）失信惩戒措施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1、存在上述失信行为的部门、单位或个人，三年内不予安排区级专项资金。对相关申报单位的主要负责人和直接责任人，将其失信行为录入个人信用档案，并釆取相应的失信惩戒措施。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2、相关社会中介机构对项目单位会计报表等资料出具不实鉴证报告的，三年内不采信其为所有区级专项资金申报出具的鉴证报告。对相关社会中介机构的直接责任人，将其失信行为录入个人信用档案，并釆取相应的失信惩戒措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3、主管部门所辖的申报单位存在上述失信行为，以及因审核把关不严造成骗取、套取或挤占挪用</w:t>
      </w:r>
      <w:r>
        <w:rPr>
          <w:rFonts w:hint="eastAsia" w:ascii="仿宋" w:hAnsi="仿宋" w:eastAsia="仿宋" w:cs="仿宋"/>
          <w:color w:val="333333"/>
          <w:kern w:val="0"/>
          <w:sz w:val="30"/>
          <w:szCs w:val="30"/>
          <w:highlight w:val="none"/>
          <w:lang w:eastAsia="zh-CN"/>
        </w:rPr>
        <w:t>区级</w:t>
      </w:r>
      <w:r>
        <w:rPr>
          <w:rFonts w:hint="eastAsia" w:ascii="仿宋" w:hAnsi="仿宋" w:eastAsia="仿宋" w:cs="仿宋"/>
          <w:color w:val="333333"/>
          <w:kern w:val="0"/>
          <w:sz w:val="30"/>
          <w:szCs w:val="30"/>
          <w:highlight w:val="none"/>
        </w:rPr>
        <w:t>专项资金等问题突出的，</w:t>
      </w:r>
      <w:r>
        <w:rPr>
          <w:rFonts w:hint="eastAsia" w:ascii="仿宋" w:hAnsi="仿宋" w:eastAsia="仿宋" w:cs="仿宋"/>
          <w:color w:val="333333"/>
          <w:kern w:val="0"/>
          <w:sz w:val="30"/>
          <w:szCs w:val="30"/>
          <w:highlight w:val="none"/>
          <w:lang w:eastAsia="zh-CN"/>
        </w:rPr>
        <w:t>区</w:t>
      </w:r>
      <w:r>
        <w:rPr>
          <w:rFonts w:hint="eastAsia" w:ascii="仿宋" w:hAnsi="仿宋" w:eastAsia="仿宋" w:cs="仿宋"/>
          <w:color w:val="333333"/>
          <w:kern w:val="0"/>
          <w:sz w:val="30"/>
          <w:szCs w:val="30"/>
          <w:highlight w:val="none"/>
        </w:rPr>
        <w:t>财政将会同</w:t>
      </w:r>
      <w:r>
        <w:rPr>
          <w:rFonts w:hint="eastAsia" w:ascii="仿宋" w:hAnsi="仿宋" w:eastAsia="仿宋" w:cs="仿宋"/>
          <w:color w:val="333333"/>
          <w:kern w:val="0"/>
          <w:sz w:val="30"/>
          <w:szCs w:val="30"/>
          <w:highlight w:val="none"/>
          <w:lang w:eastAsia="zh-CN"/>
        </w:rPr>
        <w:t>区</w:t>
      </w:r>
      <w:r>
        <w:rPr>
          <w:rFonts w:hint="eastAsia" w:ascii="仿宋" w:hAnsi="仿宋" w:eastAsia="仿宋" w:cs="仿宋"/>
          <w:color w:val="333333"/>
          <w:kern w:val="0"/>
          <w:sz w:val="30"/>
          <w:szCs w:val="30"/>
          <w:highlight w:val="none"/>
        </w:rPr>
        <w:t>相关主管部门书面通知其整改，并在一定范围内进行通报。其中经</w:t>
      </w:r>
      <w:r>
        <w:rPr>
          <w:rFonts w:hint="eastAsia" w:ascii="仿宋" w:hAnsi="仿宋" w:eastAsia="仿宋" w:cs="仿宋"/>
          <w:color w:val="333333"/>
          <w:kern w:val="0"/>
          <w:sz w:val="30"/>
          <w:szCs w:val="30"/>
          <w:highlight w:val="none"/>
          <w:lang w:eastAsia="zh-CN"/>
        </w:rPr>
        <w:t>区级</w:t>
      </w:r>
      <w:r>
        <w:rPr>
          <w:rFonts w:hint="eastAsia" w:ascii="仿宋" w:hAnsi="仿宋" w:eastAsia="仿宋" w:cs="仿宋"/>
          <w:color w:val="333333"/>
          <w:kern w:val="0"/>
          <w:sz w:val="30"/>
          <w:szCs w:val="30"/>
          <w:highlight w:val="none"/>
        </w:rPr>
        <w:t>及以上审计或财政部门认定存在失信行为的，</w:t>
      </w:r>
      <w:r>
        <w:rPr>
          <w:rFonts w:hint="eastAsia" w:ascii="仿宋" w:hAnsi="仿宋" w:eastAsia="仿宋" w:cs="仿宋"/>
          <w:color w:val="333333"/>
          <w:kern w:val="0"/>
          <w:sz w:val="30"/>
          <w:szCs w:val="30"/>
          <w:highlight w:val="none"/>
          <w:lang w:eastAsia="zh-CN"/>
        </w:rPr>
        <w:t>区</w:t>
      </w:r>
      <w:r>
        <w:rPr>
          <w:rFonts w:hint="eastAsia" w:ascii="仿宋" w:hAnsi="仿宋" w:eastAsia="仿宋" w:cs="仿宋"/>
          <w:color w:val="333333"/>
          <w:kern w:val="0"/>
          <w:sz w:val="30"/>
          <w:szCs w:val="30"/>
          <w:highlight w:val="none"/>
        </w:rPr>
        <w:t>财政将会同</w:t>
      </w:r>
      <w:r>
        <w:rPr>
          <w:rFonts w:hint="eastAsia" w:ascii="仿宋" w:hAnsi="仿宋" w:eastAsia="仿宋" w:cs="仿宋"/>
          <w:color w:val="333333"/>
          <w:kern w:val="0"/>
          <w:sz w:val="30"/>
          <w:szCs w:val="30"/>
          <w:highlight w:val="none"/>
          <w:lang w:eastAsia="zh-CN"/>
        </w:rPr>
        <w:t>区</w:t>
      </w:r>
      <w:r>
        <w:rPr>
          <w:rFonts w:hint="eastAsia" w:ascii="仿宋" w:hAnsi="仿宋" w:eastAsia="仿宋" w:cs="仿宋"/>
          <w:color w:val="333333"/>
          <w:kern w:val="0"/>
          <w:sz w:val="30"/>
          <w:szCs w:val="30"/>
          <w:highlight w:val="none"/>
        </w:rPr>
        <w:t>相关主管部门调减此项专项资金下年度安排额度；情节特别严重的，下年度不予安排此项专项资金。</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黑体" w:hAnsi="黑体" w:eastAsia="黑体" w:cs="黑体"/>
          <w:color w:val="333333"/>
          <w:kern w:val="0"/>
          <w:sz w:val="30"/>
          <w:szCs w:val="30"/>
          <w:highlight w:val="none"/>
        </w:rPr>
      </w:pPr>
      <w:r>
        <w:rPr>
          <w:rFonts w:hint="eastAsia" w:ascii="黑体" w:hAnsi="黑体" w:eastAsia="黑体" w:cs="黑体"/>
          <w:color w:val="333333"/>
          <w:kern w:val="0"/>
          <w:sz w:val="30"/>
          <w:szCs w:val="30"/>
          <w:highlight w:val="none"/>
        </w:rPr>
        <w:t>五、跨部门联合惩戒措施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1、依法限制失信行为主体作为供应商参加政府釆购活动。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2、将失信行为主体相关信息作为选择参与政府和社会资本合作的依据或参考。</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lang w:val="en-US" w:eastAsia="zh-CN"/>
        </w:rPr>
        <w:t>3</w:t>
      </w:r>
      <w:r>
        <w:rPr>
          <w:rFonts w:hint="eastAsia" w:ascii="仿宋" w:hAnsi="仿宋" w:eastAsia="仿宋" w:cs="仿宋"/>
          <w:color w:val="333333"/>
          <w:kern w:val="0"/>
          <w:sz w:val="30"/>
          <w:szCs w:val="30"/>
          <w:highlight w:val="none"/>
        </w:rPr>
        <w:t>、对失信行为主体为境内国有控股上市公司的，协助中止其股权激励计划或终止其股权激励对象行权资格。</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lang w:val="en-US" w:eastAsia="zh-CN"/>
        </w:rPr>
        <w:t>4</w:t>
      </w:r>
      <w:r>
        <w:rPr>
          <w:rFonts w:hint="eastAsia" w:ascii="仿宋" w:hAnsi="仿宋" w:eastAsia="仿宋" w:cs="仿宋"/>
          <w:color w:val="333333"/>
          <w:kern w:val="0"/>
          <w:sz w:val="30"/>
          <w:szCs w:val="30"/>
          <w:highlight w:val="none"/>
        </w:rPr>
        <w:t>、在合格境外机构投资者、合格境内机构投资者额度审批和管理中，将失信状况作为审慎性参考依据。</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lang w:val="en-US" w:eastAsia="zh-CN"/>
        </w:rPr>
        <w:t>5</w:t>
      </w:r>
      <w:r>
        <w:rPr>
          <w:rFonts w:hint="eastAsia" w:ascii="仿宋" w:hAnsi="仿宋" w:eastAsia="仿宋" w:cs="仿宋"/>
          <w:color w:val="333333"/>
          <w:kern w:val="0"/>
          <w:sz w:val="30"/>
          <w:szCs w:val="30"/>
          <w:highlight w:val="none"/>
        </w:rPr>
        <w:t>、在实施优惠性政策时，查询相关机构及其法定代表人、实际控制人、董事、监事、高级管理人员是否为失信行为主体，对其享受该政策时审慎性参考。</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lang w:val="en-US" w:eastAsia="zh-CN"/>
        </w:rPr>
        <w:t>6</w:t>
      </w:r>
      <w:r>
        <w:rPr>
          <w:rFonts w:hint="eastAsia" w:ascii="仿宋" w:hAnsi="仿宋" w:eastAsia="仿宋" w:cs="仿宋"/>
          <w:color w:val="333333"/>
          <w:kern w:val="0"/>
          <w:sz w:val="30"/>
          <w:szCs w:val="30"/>
          <w:highlight w:val="none"/>
        </w:rPr>
        <w:t>、对失信行为主体申请参与基础设施和公用事业特许经营，依法进行必要限制。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lang w:val="en-US" w:eastAsia="zh-CN"/>
        </w:rPr>
        <w:t>7</w:t>
      </w:r>
      <w:r>
        <w:rPr>
          <w:rFonts w:hint="eastAsia" w:ascii="仿宋" w:hAnsi="仿宋" w:eastAsia="仿宋" w:cs="仿宋"/>
          <w:color w:val="333333"/>
          <w:kern w:val="0"/>
          <w:sz w:val="30"/>
          <w:szCs w:val="30"/>
          <w:highlight w:val="none"/>
        </w:rPr>
        <w:t>、对失信行为主体在取得政府供应土地方面依法予以限制或禁止。</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lang w:val="en-US" w:eastAsia="zh-CN"/>
        </w:rPr>
        <w:t>8</w:t>
      </w:r>
      <w:r>
        <w:rPr>
          <w:rFonts w:hint="eastAsia" w:ascii="仿宋" w:hAnsi="仿宋" w:eastAsia="仿宋" w:cs="仿宋"/>
          <w:color w:val="333333"/>
          <w:kern w:val="0"/>
          <w:sz w:val="30"/>
          <w:szCs w:val="30"/>
          <w:highlight w:val="none"/>
        </w:rPr>
        <w:t>、对失信行为主体申请参与政府投资工程建设项目投标活动，依法进行必要限制。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lang w:val="en-US" w:eastAsia="zh-CN"/>
        </w:rPr>
        <w:t>9</w:t>
      </w:r>
      <w:r>
        <w:rPr>
          <w:rFonts w:hint="eastAsia" w:ascii="仿宋" w:hAnsi="仿宋" w:eastAsia="仿宋" w:cs="仿宋"/>
          <w:color w:val="333333"/>
          <w:kern w:val="0"/>
          <w:sz w:val="30"/>
          <w:szCs w:val="30"/>
          <w:highlight w:val="none"/>
        </w:rPr>
        <w:t>、对失信行为主体申请安全生产许可证予以限制。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lang w:val="en-US" w:eastAsia="zh-CN"/>
        </w:rPr>
        <w:t>10</w:t>
      </w:r>
      <w:r>
        <w:rPr>
          <w:rFonts w:hint="eastAsia" w:ascii="仿宋" w:hAnsi="仿宋" w:eastAsia="仿宋" w:cs="仿宋"/>
          <w:color w:val="333333"/>
          <w:kern w:val="0"/>
          <w:sz w:val="30"/>
          <w:szCs w:val="30"/>
          <w:highlight w:val="none"/>
        </w:rPr>
        <w:t>、对失信行为主体申请生产等许可证予以限制。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lang w:val="en-US" w:eastAsia="zh-CN"/>
        </w:rPr>
        <w:t>11</w:t>
      </w:r>
      <w:r>
        <w:rPr>
          <w:rFonts w:hint="eastAsia" w:ascii="仿宋" w:hAnsi="仿宋" w:eastAsia="仿宋" w:cs="仿宋"/>
          <w:color w:val="333333"/>
          <w:kern w:val="0"/>
          <w:sz w:val="30"/>
          <w:szCs w:val="30"/>
          <w:highlight w:val="none"/>
        </w:rPr>
        <w:t>、失信行为主体为个人的，依法限制其担任国有独资公司法定代表人、董事、监事及国有资本控股或参股公司法定代表人、董事、监事及国有企业的法定代表人、高级管理人员；已担任相关职务的，提出其不再担任相关职务的意见。</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lang w:val="en-US" w:eastAsia="zh-CN"/>
        </w:rPr>
        <w:t>1</w:t>
      </w:r>
      <w:r>
        <w:rPr>
          <w:rFonts w:hint="eastAsia" w:ascii="仿宋" w:hAnsi="仿宋" w:eastAsia="仿宋" w:cs="仿宋"/>
          <w:color w:val="333333"/>
          <w:kern w:val="0"/>
          <w:sz w:val="30"/>
          <w:szCs w:val="30"/>
          <w:highlight w:val="none"/>
        </w:rPr>
        <w:t>2、失信行为主体为个人的，依法限制登记为事业单位法定代表人。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lang w:val="en-US" w:eastAsia="zh-CN"/>
        </w:rPr>
        <w:t>1</w:t>
      </w:r>
      <w:r>
        <w:rPr>
          <w:rFonts w:hint="eastAsia" w:ascii="仿宋" w:hAnsi="仿宋" w:eastAsia="仿宋" w:cs="仿宋"/>
          <w:color w:val="333333"/>
          <w:kern w:val="0"/>
          <w:sz w:val="30"/>
          <w:szCs w:val="30"/>
          <w:highlight w:val="none"/>
        </w:rPr>
        <w:t>3、将失信行为主体和以失信行为主体为法定代表人、实际控制人、董事、监事、高级管理人员的单位，作为重点监管对象，加大日常监管力度，提高随机抽查的比例和频次，并可依据相关法律法规对其釆取行政监管措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lang w:val="en-US" w:eastAsia="zh-CN"/>
        </w:rPr>
        <w:t>14</w:t>
      </w:r>
      <w:r>
        <w:rPr>
          <w:rFonts w:hint="eastAsia" w:ascii="仿宋" w:hAnsi="仿宋" w:eastAsia="仿宋" w:cs="仿宋"/>
          <w:color w:val="333333"/>
          <w:kern w:val="0"/>
          <w:sz w:val="30"/>
          <w:szCs w:val="30"/>
          <w:highlight w:val="none"/>
        </w:rPr>
        <w:t>、协调相关互联网新闻信息服务单位向社会公布失信责任主体信息。</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lang w:val="en-US" w:eastAsia="zh-CN"/>
        </w:rPr>
        <w:t>15</w:t>
      </w:r>
      <w:r>
        <w:rPr>
          <w:rFonts w:hint="eastAsia" w:ascii="仿宋" w:hAnsi="仿宋" w:eastAsia="仿宋" w:cs="仿宋"/>
          <w:color w:val="333333"/>
          <w:kern w:val="0"/>
          <w:sz w:val="30"/>
          <w:szCs w:val="30"/>
          <w:highlight w:val="none"/>
        </w:rPr>
        <w:t>、依法限制招录（聘）为公务员或事业单位工作人员。</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lang w:val="en-US" w:eastAsia="zh-CN"/>
        </w:rPr>
        <w:t>16</w:t>
      </w:r>
      <w:r>
        <w:rPr>
          <w:rFonts w:hint="eastAsia" w:ascii="仿宋" w:hAnsi="仿宋" w:eastAsia="仿宋" w:cs="仿宋"/>
          <w:color w:val="333333"/>
          <w:kern w:val="0"/>
          <w:sz w:val="30"/>
          <w:szCs w:val="30"/>
          <w:highlight w:val="none"/>
        </w:rPr>
        <w:t>、对于机关、企事业单位、社会团体或其领导成员为失信行为主体的，不得参加文明单位评选，已经取得文明单位荣誉称号的予以撤销。各类失信行为主体均不得参加道德模范评选，已获得道德模范荣誉称号的予以撤销。</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黑体" w:hAnsi="黑体" w:eastAsia="黑体" w:cs="黑体"/>
          <w:color w:val="333333"/>
          <w:kern w:val="0"/>
          <w:sz w:val="30"/>
          <w:szCs w:val="30"/>
          <w:highlight w:val="none"/>
        </w:rPr>
        <w:t>六、实施与退出</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1、区级财政部门依规将失信行为当事人相关信息在门户网站进行公示或通过其他信用信息共享平台，向参与联合惩戒的部门提供失信行为当事人名单信息。各有关部门依法依规对失信行为当事人实施联合惩戒。</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2、区级财政部门对失信行为当事人惩戒期限到期时，自动从门户网站或通过其他信用信息共享平台退出。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黑体" w:hAnsi="黑体" w:eastAsia="黑体" w:cs="黑体"/>
          <w:color w:val="333333"/>
          <w:kern w:val="0"/>
          <w:sz w:val="30"/>
          <w:szCs w:val="30"/>
          <w:highlight w:val="none"/>
        </w:rPr>
      </w:pPr>
      <w:r>
        <w:rPr>
          <w:rFonts w:hint="eastAsia" w:ascii="黑体" w:hAnsi="黑体" w:eastAsia="黑体" w:cs="黑体"/>
          <w:color w:val="333333"/>
          <w:kern w:val="0"/>
          <w:sz w:val="30"/>
          <w:szCs w:val="30"/>
          <w:highlight w:val="none"/>
        </w:rPr>
        <w:t>七、工作要求</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1、区级财政部门要积极推进财政专项资金领域守信激励和失信惩戒，将其纳入日常工作，并将区级专项资金领域守信激励和失信惩戒工作与专项资金监督检查、绩效评价相结合，加强区级专项资金的事前告知、事中事后检查和问责问效，不断提高区级专项资金管理水平。</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hint="eastAsia" w:ascii="仿宋" w:hAnsi="仿宋" w:eastAsia="仿宋" w:cs="仿宋"/>
          <w:color w:val="333333"/>
          <w:kern w:val="0"/>
          <w:sz w:val="30"/>
          <w:szCs w:val="30"/>
          <w:highlight w:val="none"/>
        </w:rPr>
      </w:pPr>
      <w:r>
        <w:rPr>
          <w:rFonts w:hint="eastAsia" w:ascii="仿宋" w:hAnsi="仿宋" w:eastAsia="仿宋" w:cs="仿宋"/>
          <w:color w:val="333333"/>
          <w:kern w:val="0"/>
          <w:sz w:val="30"/>
          <w:szCs w:val="30"/>
          <w:highlight w:val="none"/>
        </w:rPr>
        <w:t>2、依托公共信用信息平台，建立健全失信行为当事人信息共享制度，将信息的查询使用纳入政府日常行政监管和公共服务事项中，实现信息互通共享，为各部门进行跨部门、跨领域联合惩戒提供技术支撑，最大限度发挥联合惩戒作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357" w:firstLineChars="0"/>
        <w:jc w:val="both"/>
        <w:textAlignment w:val="auto"/>
        <w:outlineLvl w:val="9"/>
        <w:rPr>
          <w:rFonts w:ascii="Times New Roman" w:hAnsi="Times New Roman" w:eastAsia="宋体" w:cs="Times New Roman"/>
          <w:color w:val="333333"/>
          <w:kern w:val="0"/>
          <w:szCs w:val="21"/>
          <w:highlight w:val="none"/>
        </w:rPr>
      </w:pPr>
      <w:r>
        <w:rPr>
          <w:rFonts w:hint="eastAsia" w:ascii="仿宋" w:hAnsi="仿宋" w:eastAsia="仿宋" w:cs="仿宋"/>
          <w:color w:val="333333"/>
          <w:kern w:val="0"/>
          <w:sz w:val="30"/>
          <w:szCs w:val="30"/>
          <w:highlight w:val="none"/>
        </w:rPr>
        <w:t>3、加大宣传力度，充分发挥新闻媒体的宣传、监督和舆论引导作用，利用报纸、广播、电视、网络等媒体，加大宣传联合惩戒工作力度，依法公布失信行为当事人信息、受惩戒情况等，形成舆论压力，扩大联合惩戒工作的影响力和警示力，构建“一处失信、处处受限”的信用惩戒体系</w:t>
      </w:r>
      <w:r>
        <w:rPr>
          <w:rFonts w:hint="eastAsia" w:ascii="仿宋" w:hAnsi="仿宋" w:eastAsia="仿宋" w:cs="仿宋"/>
          <w:color w:val="333333"/>
          <w:kern w:val="0"/>
          <w:sz w:val="30"/>
          <w:szCs w:val="30"/>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1C15"/>
    <w:rsid w:val="001961BC"/>
    <w:rsid w:val="002C6D7A"/>
    <w:rsid w:val="00633994"/>
    <w:rsid w:val="00691C15"/>
    <w:rsid w:val="008637CA"/>
    <w:rsid w:val="00A35CFD"/>
    <w:rsid w:val="00B002CB"/>
    <w:rsid w:val="00B42284"/>
    <w:rsid w:val="00CD6F96"/>
    <w:rsid w:val="00DE7A59"/>
    <w:rsid w:val="19AE1FBF"/>
    <w:rsid w:val="2C2E46E7"/>
    <w:rsid w:val="2EA605F3"/>
    <w:rsid w:val="31ED07A9"/>
    <w:rsid w:val="389A2C91"/>
    <w:rsid w:val="3ED3144D"/>
    <w:rsid w:val="44187B2F"/>
    <w:rsid w:val="45F87127"/>
    <w:rsid w:val="5ACB6561"/>
    <w:rsid w:val="602B5580"/>
    <w:rsid w:val="70100CBC"/>
    <w:rsid w:val="71BB2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uiPriority w:val="99"/>
    <w:rPr>
      <w:sz w:val="18"/>
      <w:szCs w:val="18"/>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342</Words>
  <Characters>1952</Characters>
  <Lines>16</Lines>
  <Paragraphs>4</Paragraphs>
  <TotalTime>3</TotalTime>
  <ScaleCrop>false</ScaleCrop>
  <LinksUpToDate>false</LinksUpToDate>
  <CharactersWithSpaces>2290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2018-01-24T02:36:00Z</dcterms:created>
  <dc:creator>lenovo</dc:creator>
  <cp:lastModifiedBy>lenovo</cp:lastModifiedBy>
  <cp:lastPrinted>2018-01-24T08:17:00Z</cp:lastPrinted>
  <dcterms:modified xsi:type="dcterms:W3CDTF">2018-09-26T08:21:42Z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