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2020年鼓楼区关于深入实施“提升壮大百栋</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重点楼宇 打造新时代鼓楼楼宇经济升级版”</w:t>
      </w:r>
    </w:p>
    <w:p>
      <w:pPr>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工作方案</w:t>
      </w:r>
    </w:p>
    <w:p>
      <w:pPr>
        <w:spacing w:line="560" w:lineRule="exact"/>
        <w:jc w:val="center"/>
        <w:rPr>
          <w:rFonts w:ascii="楷体_GB2312" w:hAnsi="方正小标宋简体" w:eastAsia="楷体_GB2312" w:cs="方正小标宋简体"/>
          <w:color w:val="000000"/>
          <w:szCs w:val="32"/>
        </w:rPr>
      </w:pPr>
    </w:p>
    <w:p>
      <w:pPr>
        <w:spacing w:line="560" w:lineRule="exact"/>
        <w:ind w:firstLine="652" w:firstLineChars="200"/>
        <w:rPr>
          <w:rFonts w:ascii="仿宋_GB2312" w:hAnsi="仿宋_GB2312" w:cs="仿宋_GB2312"/>
          <w:color w:val="000000"/>
          <w:szCs w:val="32"/>
        </w:rPr>
      </w:pPr>
      <w:r>
        <w:rPr>
          <w:rFonts w:hint="eastAsia" w:ascii="仿宋_GB2312" w:hAnsi="仿宋_GB2312" w:cs="仿宋_GB2312"/>
          <w:color w:val="000000"/>
          <w:szCs w:val="32"/>
        </w:rPr>
        <w:t>为贯彻习近平新时代中国特色社会主义经济思想和新发展理念，落实中央和省、市各项决策部署，深化我区国家服务业综合改革示范典型工作，全面贯彻“一线工作法”，以培育壮大百栋“类型楼宇”为重点，以“三个提升”为总抓手，深入实施“提升壮大百栋重点楼宇 打造新时代鼓楼楼宇经济升级版”三年行动计划，促进楼宇经济升级版工作由2019年“深化年”向2020年“成果年”跨越，特制定此工作方案。</w:t>
      </w:r>
    </w:p>
    <w:p>
      <w:pPr>
        <w:snapToGrid w:val="0"/>
        <w:spacing w:line="560" w:lineRule="exact"/>
        <w:ind w:firstLine="640"/>
        <w:rPr>
          <w:rFonts w:ascii="黑体" w:hAnsi="黑体" w:eastAsia="黑体" w:cs="黑体"/>
          <w:color w:val="000000"/>
          <w:szCs w:val="32"/>
        </w:rPr>
      </w:pPr>
      <w:r>
        <w:rPr>
          <w:rFonts w:hint="eastAsia" w:ascii="黑体" w:hAnsi="黑体" w:eastAsia="黑体" w:cs="黑体"/>
          <w:color w:val="000000"/>
          <w:szCs w:val="32"/>
        </w:rPr>
        <w:t>一、工作措施</w:t>
      </w:r>
    </w:p>
    <w:p>
      <w:pPr>
        <w:pStyle w:val="10"/>
        <w:wordWrap w:val="0"/>
        <w:snapToGrid w:val="0"/>
        <w:spacing w:before="0" w:beforeAutospacing="0" w:after="0" w:afterAutospacing="0" w:line="560" w:lineRule="exact"/>
        <w:ind w:firstLine="652" w:firstLineChars="200"/>
        <w:jc w:val="both"/>
        <w:rPr>
          <w:rFonts w:ascii="仿宋_GB2312" w:hAnsi="仿宋_GB2312" w:cs="仿宋_GB2312"/>
          <w:color w:val="000000"/>
          <w:sz w:val="32"/>
          <w:szCs w:val="32"/>
        </w:rPr>
      </w:pPr>
      <w:r>
        <w:rPr>
          <w:rFonts w:hint="eastAsia" w:ascii="楷体_GB2312" w:hAnsi="楷体_GB2312" w:eastAsia="楷体_GB2312" w:cs="楷体_GB2312"/>
          <w:color w:val="000000"/>
          <w:sz w:val="32"/>
          <w:szCs w:val="32"/>
        </w:rPr>
        <w:t>（一）提升政府引导力</w:t>
      </w:r>
    </w:p>
    <w:p>
      <w:pPr>
        <w:pStyle w:val="10"/>
        <w:wordWrap w:val="0"/>
        <w:snapToGrid w:val="0"/>
        <w:spacing w:before="0" w:beforeAutospacing="0" w:after="0" w:afterAutospacing="0" w:line="560" w:lineRule="exact"/>
        <w:ind w:firstLine="652" w:firstLineChars="200"/>
        <w:jc w:val="both"/>
        <w:rPr>
          <w:rFonts w:ascii="仿宋_GB2312"/>
          <w:bCs/>
          <w:color w:val="000000"/>
          <w:kern w:val="2"/>
          <w:sz w:val="32"/>
          <w:szCs w:val="32"/>
        </w:rPr>
      </w:pPr>
      <w:r>
        <w:rPr>
          <w:rFonts w:hint="eastAsia" w:ascii="仿宋_GB2312"/>
          <w:bCs/>
          <w:color w:val="000000"/>
          <w:kern w:val="2"/>
          <w:sz w:val="32"/>
          <w:szCs w:val="32"/>
        </w:rPr>
        <w:t>持续深化政府引导力，结合“抓项目、促跨越”“争当排头兵系列竞赛活动”等重点工作，进一步扩大和巩固政府主导与市场运作协调发展的优良局面，</w:t>
      </w:r>
      <w:r>
        <w:rPr>
          <w:rFonts w:hint="eastAsia" w:ascii="仿宋_GB2312" w:hAnsi="仿宋_GB2312" w:cs="仿宋_GB2312"/>
          <w:color w:val="000000"/>
          <w:kern w:val="2"/>
          <w:sz w:val="32"/>
          <w:szCs w:val="32"/>
          <w:shd w:val="clear" w:color="auto" w:fill="FFFFFF"/>
        </w:rPr>
        <w:t>促进全区楼宇经济“高位提升、跨越发展”。</w:t>
      </w:r>
    </w:p>
    <w:p>
      <w:pPr>
        <w:spacing w:line="560" w:lineRule="exact"/>
        <w:ind w:firstLine="652" w:firstLineChars="200"/>
        <w:rPr>
          <w:rFonts w:ascii="仿宋_GB2312" w:hAnsi="仿宋_GB2312" w:cs="仿宋_GB2312"/>
          <w:bCs/>
          <w:color w:val="000000"/>
          <w:szCs w:val="32"/>
        </w:rPr>
      </w:pPr>
      <w:r>
        <w:rPr>
          <w:rFonts w:hint="eastAsia" w:ascii="仿宋_GB2312" w:hAnsi="仿宋_GB2312" w:cs="仿宋_GB2312"/>
          <w:b/>
          <w:color w:val="000000"/>
          <w:szCs w:val="32"/>
        </w:rPr>
        <w:t>1.在地块布局上，坚持推陈出新。</w:t>
      </w:r>
      <w:r>
        <w:rPr>
          <w:rFonts w:hint="eastAsia" w:ascii="仿宋_GB2312" w:hAnsi="仿宋_GB2312" w:cs="仿宋_GB2312"/>
          <w:bCs/>
          <w:color w:val="000000"/>
          <w:szCs w:val="32"/>
        </w:rPr>
        <w:t>坚持“一张蓝图绘到底”，</w:t>
      </w:r>
      <w:r>
        <w:rPr>
          <w:rFonts w:hint="eastAsia" w:ascii="仿宋_GB2312" w:hAnsi="仿宋_GB2312" w:cs="仿宋_GB2312"/>
          <w:color w:val="000000"/>
          <w:szCs w:val="32"/>
          <w:shd w:val="clear" w:color="auto" w:fill="FFFFFF"/>
        </w:rPr>
        <w:t>继续优化整合、有机更新地块资源，推广自持为主、整体不分割出让的用地模式、建设一批科技属性高的现代化商务楼宇，</w:t>
      </w:r>
      <w:r>
        <w:rPr>
          <w:rFonts w:hint="eastAsia" w:ascii="仿宋_GB2312" w:hAnsi="宋体"/>
          <w:bCs/>
          <w:color w:val="000000"/>
          <w:szCs w:val="32"/>
        </w:rPr>
        <w:t>进一步打造配套齐全、设施先进的楼宇经济集聚区、中央商务区。</w:t>
      </w:r>
    </w:p>
    <w:p>
      <w:pPr>
        <w:spacing w:line="560" w:lineRule="exact"/>
        <w:ind w:firstLine="602"/>
        <w:rPr>
          <w:rFonts w:ascii="仿宋_GB2312"/>
          <w:bCs/>
          <w:color w:val="000000"/>
        </w:rPr>
      </w:pPr>
      <w:r>
        <w:rPr>
          <w:rFonts w:hint="eastAsia" w:ascii="仿宋_GB2312" w:hAnsi="宋体"/>
          <w:b/>
          <w:color w:val="000000"/>
          <w:szCs w:val="32"/>
        </w:rPr>
        <w:t>2.在载体建设上，坚持内外更新</w:t>
      </w:r>
      <w:r>
        <w:rPr>
          <w:rFonts w:hint="eastAsia" w:ascii="仿宋_GB2312"/>
          <w:b/>
          <w:color w:val="000000"/>
        </w:rPr>
        <w:t>。一是</w:t>
      </w:r>
      <w:r>
        <w:rPr>
          <w:rFonts w:hint="eastAsia" w:ascii="仿宋_GB2312"/>
          <w:bCs/>
          <w:color w:val="000000"/>
        </w:rPr>
        <w:t>继续丰富载体资源，</w:t>
      </w:r>
      <w:r>
        <w:rPr>
          <w:rFonts w:hint="eastAsia" w:ascii="仿宋_GB2312" w:hAnsi="仿宋_GB2312" w:cs="仿宋_GB2312"/>
          <w:bCs/>
          <w:color w:val="000000"/>
          <w:szCs w:val="32"/>
        </w:rPr>
        <w:t>加快建</w:t>
      </w:r>
      <w:r>
        <w:rPr>
          <w:rFonts w:hint="eastAsia" w:ascii="仿宋_GB2312"/>
          <w:bCs/>
          <w:color w:val="000000"/>
        </w:rPr>
        <w:t>成一批高端化、智能化绿色建筑，为我区产业发展提供新鲜载体；</w:t>
      </w:r>
      <w:r>
        <w:rPr>
          <w:rFonts w:hint="eastAsia" w:ascii="仿宋_GB2312"/>
          <w:b/>
          <w:color w:val="000000"/>
        </w:rPr>
        <w:t>二是</w:t>
      </w:r>
      <w:r>
        <w:rPr>
          <w:rFonts w:hint="eastAsia" w:ascii="仿宋_GB2312" w:hAnsi="仿宋_GB2312" w:cs="仿宋_GB2312"/>
          <w:color w:val="000000"/>
          <w:szCs w:val="32"/>
        </w:rPr>
        <w:t>坚持整体规划。结合世界遗产大会筹备工作，依托《五四路周边楼宇经济集聚区提升规划设计任务书》对</w:t>
      </w:r>
      <w:r>
        <w:rPr>
          <w:rFonts w:hint="eastAsia" w:ascii="仿宋_GB2312" w:hAnsi="仿宋_GB2312" w:cs="仿宋_GB2312"/>
          <w:bCs/>
          <w:color w:val="000000"/>
          <w:szCs w:val="32"/>
        </w:rPr>
        <w:t>五四路周边</w:t>
      </w:r>
      <w:r>
        <w:rPr>
          <w:rFonts w:hint="eastAsia" w:ascii="仿宋_GB2312" w:hAnsi="仿宋_GB2312" w:cs="仿宋_GB2312"/>
          <w:color w:val="000000"/>
          <w:szCs w:val="32"/>
        </w:rPr>
        <w:t>“</w:t>
      </w:r>
      <w:r>
        <w:rPr>
          <w:rFonts w:hint="eastAsia" w:ascii="仿宋_GB2312" w:hAnsi="仿宋_GB2312" w:cs="仿宋_GB2312"/>
          <w:color w:val="000000"/>
          <w:szCs w:val="32"/>
          <w:lang w:val="zh-CN"/>
        </w:rPr>
        <w:t>一纵三横</w:t>
      </w:r>
      <w:r>
        <w:rPr>
          <w:rFonts w:hint="eastAsia" w:ascii="仿宋_GB2312" w:hAnsi="仿宋_GB2312" w:cs="仿宋_GB2312"/>
          <w:color w:val="000000"/>
          <w:szCs w:val="32"/>
        </w:rPr>
        <w:t>”</w:t>
      </w:r>
      <w:r>
        <w:rPr>
          <w:rFonts w:hint="eastAsia" w:ascii="仿宋_GB2312" w:hAnsi="仿宋_GB2312" w:cs="仿宋_GB2312"/>
          <w:bCs/>
          <w:color w:val="000000"/>
          <w:szCs w:val="32"/>
        </w:rPr>
        <w:t>楼宇经济集聚区进行整体提升</w:t>
      </w:r>
      <w:r>
        <w:rPr>
          <w:rFonts w:hint="eastAsia" w:ascii="仿宋_GB2312" w:hAnsi="仿宋_GB2312" w:cs="仿宋_GB2312"/>
          <w:color w:val="000000"/>
          <w:szCs w:val="32"/>
        </w:rPr>
        <w:t>，</w:t>
      </w:r>
      <w:r>
        <w:rPr>
          <w:rFonts w:hint="eastAsia" w:ascii="仿宋_GB2312"/>
          <w:color w:val="000000"/>
        </w:rPr>
        <w:t>优化完善CBD绿化小品、商务楼宇周边路网、信息化（5G）布局等工程，突显城市形象和商务环境。</w:t>
      </w:r>
    </w:p>
    <w:p>
      <w:pPr>
        <w:spacing w:line="560" w:lineRule="exact"/>
        <w:ind w:firstLine="602"/>
        <w:rPr>
          <w:rFonts w:ascii="仿宋_GB2312" w:hAnsi="仿宋_GB2312" w:cs="仿宋_GB2312"/>
          <w:color w:val="000000"/>
          <w:szCs w:val="32"/>
          <w:shd w:val="clear" w:color="auto" w:fill="FFFFFF"/>
        </w:rPr>
      </w:pPr>
      <w:r>
        <w:rPr>
          <w:rFonts w:hint="eastAsia" w:ascii="仿宋_GB2312"/>
          <w:b/>
          <w:color w:val="000000"/>
        </w:rPr>
        <w:t>3.在存量治理上，坚持多元思维。</w:t>
      </w:r>
      <w:r>
        <w:rPr>
          <w:rFonts w:hint="eastAsia" w:ascii="仿宋_GB2312" w:hAnsi="仿宋_GB2312" w:cs="仿宋_GB2312"/>
          <w:color w:val="000000"/>
          <w:szCs w:val="32"/>
          <w:shd w:val="clear" w:color="auto" w:fill="FFFFFF"/>
        </w:rPr>
        <w:t>组合运用</w:t>
      </w:r>
      <w:r>
        <w:rPr>
          <w:rFonts w:hint="eastAsia" w:ascii="仿宋_GB2312" w:hAnsi="仿宋_GB2312" w:cs="仿宋_GB2312"/>
          <w:b/>
          <w:bCs/>
          <w:color w:val="000000"/>
          <w:szCs w:val="32"/>
          <w:shd w:val="clear" w:color="auto" w:fill="FFFFFF"/>
        </w:rPr>
        <w:t>“</w:t>
      </w:r>
      <w:r>
        <w:rPr>
          <w:rFonts w:hint="eastAsia" w:ascii="仿宋_GB2312" w:hAnsi="仿宋_GB2312" w:cs="仿宋_GB2312"/>
          <w:color w:val="000000"/>
          <w:szCs w:val="32"/>
          <w:shd w:val="clear" w:color="auto" w:fill="FFFFFF"/>
        </w:rPr>
        <w:t>拆除重建”“招商重生”“专业整合”“政府支持”等模式，集中力量分类开展存量楼宇治理工作。结合制度优势与市场机制，借鉴拆迁思维，压缩市场反应周期，提升资本改造积极性，推动改造提速升级。</w:t>
      </w:r>
    </w:p>
    <w:p>
      <w:pPr>
        <w:spacing w:line="560" w:lineRule="exact"/>
        <w:ind w:firstLine="602"/>
        <w:rPr>
          <w:rFonts w:ascii="仿宋_GB2312" w:hAnsi="仿宋_GB2312" w:cs="仿宋_GB2312"/>
          <w:color w:val="000000"/>
          <w:szCs w:val="32"/>
        </w:rPr>
      </w:pPr>
      <w:r>
        <w:rPr>
          <w:rFonts w:hint="eastAsia" w:ascii="仿宋_GB2312" w:hAnsi="仿宋_GB2312" w:cs="仿宋_GB2312"/>
          <w:b/>
          <w:bCs/>
          <w:color w:val="000000"/>
          <w:szCs w:val="32"/>
          <w:shd w:val="clear" w:color="auto" w:fill="FFFFFF"/>
        </w:rPr>
        <w:t>4.在安全管理上，坚持统筹推进。</w:t>
      </w:r>
      <w:r>
        <w:rPr>
          <w:rFonts w:hint="eastAsia" w:ascii="仿宋_GB2312" w:hAnsi="仿宋_GB2312" w:cs="仿宋_GB2312"/>
          <w:color w:val="000000"/>
          <w:szCs w:val="32"/>
        </w:rPr>
        <w:t>集中力量重点</w:t>
      </w:r>
      <w:r>
        <w:rPr>
          <w:rFonts w:hint="eastAsia" w:ascii="仿宋_GB2312" w:hAnsi="仿宋_GB2312" w:cs="仿宋_GB2312"/>
          <w:color w:val="000000"/>
          <w:szCs w:val="32"/>
          <w:lang w:eastAsia="zh-CN"/>
        </w:rPr>
        <w:t>纾困</w:t>
      </w:r>
      <w:r>
        <w:rPr>
          <w:rFonts w:hint="eastAsia" w:ascii="仿宋_GB2312" w:hAnsi="仿宋_GB2312" w:cs="仿宋_GB2312"/>
          <w:color w:val="000000"/>
          <w:szCs w:val="32"/>
        </w:rPr>
        <w:t>一批老旧楼宇存在的消防安全隐患、产权证无法办理等痼疾；</w:t>
      </w:r>
      <w:r>
        <w:rPr>
          <w:rFonts w:hint="eastAsia" w:ascii="仿宋_GB2312"/>
          <w:color w:val="000000"/>
        </w:rPr>
        <w:t>持续深入</w:t>
      </w:r>
      <w:r>
        <w:rPr>
          <w:rFonts w:hint="eastAsia" w:ascii="仿宋_GB2312" w:hAnsi="仿宋_GB2312" w:cs="仿宋_GB2312"/>
          <w:color w:val="000000"/>
          <w:szCs w:val="32"/>
          <w:shd w:val="clear" w:color="auto" w:fill="FFFFFF"/>
        </w:rPr>
        <w:t>开展消防、电梯、应急管理等安全隐患排查和监督检查，适时引入第三方开展安全性能评估等工作，引导业主积极参与老旧楼宇改造。</w:t>
      </w:r>
    </w:p>
    <w:p>
      <w:pPr>
        <w:spacing w:line="560" w:lineRule="exact"/>
        <w:ind w:firstLine="602"/>
        <w:rPr>
          <w:rFonts w:ascii="仿宋_GB2312" w:hAnsi="仿宋_GB2312" w:cs="仿宋_GB2312"/>
          <w:color w:val="000000"/>
          <w:szCs w:val="32"/>
        </w:rPr>
      </w:pPr>
      <w:r>
        <w:rPr>
          <w:rFonts w:hint="eastAsia" w:ascii="仿宋_GB2312"/>
          <w:b/>
          <w:bCs/>
          <w:color w:val="000000"/>
        </w:rPr>
        <w:t>5.在停车资源上，坚持智能运用。</w:t>
      </w:r>
      <w:r>
        <w:rPr>
          <w:rFonts w:hint="eastAsia" w:ascii="仿宋_GB2312"/>
          <w:color w:val="000000"/>
        </w:rPr>
        <w:t>因地制宜</w:t>
      </w:r>
      <w:r>
        <w:rPr>
          <w:rFonts w:hint="eastAsia" w:ascii="仿宋_GB2312" w:hAnsi="仿宋_GB2312" w:cs="仿宋_GB2312"/>
          <w:color w:val="000000"/>
          <w:szCs w:val="32"/>
        </w:rPr>
        <w:t>推动智能停车场建设。</w:t>
      </w:r>
      <w:r>
        <w:rPr>
          <w:rFonts w:hint="eastAsia" w:ascii="仿宋_GB2312"/>
          <w:color w:val="000000"/>
        </w:rPr>
        <w:t>结合“鼓楼智脑”，</w:t>
      </w:r>
      <w:r>
        <w:rPr>
          <w:rFonts w:hint="eastAsia" w:ascii="仿宋_GB2312" w:hAnsi="仿宋_GB2312" w:cs="仿宋_GB2312"/>
          <w:color w:val="000000"/>
          <w:szCs w:val="32"/>
        </w:rPr>
        <w:t>依托城市更新、老旧小区改造，引入第三方公司充分整合盘活区属单位自持、楼宇和商圈经营性停车位资源，为全区智慧停车项目增加车位总量储备。</w:t>
      </w:r>
    </w:p>
    <w:p>
      <w:pPr>
        <w:spacing w:line="560" w:lineRule="exact"/>
        <w:ind w:firstLine="652" w:firstLineChars="200"/>
        <w:rPr>
          <w:color w:val="000000"/>
        </w:rPr>
      </w:pPr>
      <w:r>
        <w:rPr>
          <w:rFonts w:hint="eastAsia" w:ascii="仿宋_GB2312" w:hAnsi="宋体"/>
          <w:b/>
          <w:color w:val="000000"/>
          <w:szCs w:val="32"/>
        </w:rPr>
        <w:t>6.在</w:t>
      </w:r>
      <w:r>
        <w:rPr>
          <w:rFonts w:hint="eastAsia" w:ascii="仿宋_GB2312" w:hAnsi="仿宋_GB2312" w:cs="仿宋_GB2312"/>
          <w:b/>
          <w:color w:val="000000"/>
          <w:szCs w:val="32"/>
        </w:rPr>
        <w:t>楼宇招商上，坚持龙头带动。</w:t>
      </w:r>
      <w:r>
        <w:rPr>
          <w:rFonts w:hint="eastAsia" w:ascii="仿宋_GB2312" w:hAnsi="仿宋_GB2312" w:cs="仿宋_GB2312"/>
          <w:b/>
          <w:bCs/>
          <w:color w:val="000000"/>
          <w:szCs w:val="32"/>
        </w:rPr>
        <w:t>一是</w:t>
      </w:r>
      <w:r>
        <w:rPr>
          <w:rFonts w:hint="eastAsia" w:ascii="仿宋_GB2312" w:hAnsi="仿宋_GB2312" w:cs="仿宋_GB2312"/>
          <w:color w:val="000000"/>
          <w:szCs w:val="32"/>
        </w:rPr>
        <w:t>深入实施“腾笼引凤”。</w:t>
      </w:r>
      <w:r>
        <w:rPr>
          <w:rFonts w:hint="eastAsia" w:ascii="仿宋_GB2312" w:hAnsi="宋体"/>
          <w:bCs/>
          <w:color w:val="000000"/>
          <w:szCs w:val="32"/>
        </w:rPr>
        <w:t>结合</w:t>
      </w:r>
      <w:r>
        <w:rPr>
          <w:rFonts w:hint="eastAsia" w:ascii="仿宋_GB2312" w:hAnsi="仿宋_GB2312" w:cs="仿宋_GB2312"/>
          <w:color w:val="000000"/>
          <w:szCs w:val="32"/>
        </w:rPr>
        <w:t>我区十三五“8833”服务业产业规划，吸引更多具有上下游产业链自吸效应的金融、科技类龙头企业、外资企业、总部企业入驻楼宇，带动高端产业要素进一步集聚，提高楼宇整体效益。</w:t>
      </w:r>
      <w:r>
        <w:rPr>
          <w:rFonts w:hint="eastAsia" w:ascii="仿宋_GB2312" w:hAnsi="仿宋_GB2312" w:cs="仿宋_GB2312"/>
          <w:b/>
          <w:bCs/>
          <w:color w:val="000000"/>
          <w:szCs w:val="32"/>
        </w:rPr>
        <w:t>二是</w:t>
      </w:r>
      <w:r>
        <w:rPr>
          <w:rFonts w:hint="eastAsia" w:ascii="仿宋_GB2312" w:hAnsi="仿宋_GB2312" w:cs="仿宋_GB2312"/>
          <w:color w:val="000000"/>
          <w:szCs w:val="32"/>
        </w:rPr>
        <w:t>落实税源回归。引导和督促相结合，充分发挥各职能部门作用，优化回归服务流程，切实推动回归一批优质企业。</w:t>
      </w:r>
    </w:p>
    <w:p>
      <w:pPr>
        <w:pStyle w:val="2"/>
        <w:spacing w:after="0" w:line="560" w:lineRule="exact"/>
        <w:ind w:firstLine="652" w:firstLineChars="200"/>
        <w:rPr>
          <w:rFonts w:ascii="仿宋_GB2312"/>
          <w:color w:val="000000"/>
          <w:szCs w:val="32"/>
        </w:rPr>
      </w:pPr>
      <w:r>
        <w:rPr>
          <w:rFonts w:hint="eastAsia" w:ascii="仿宋_GB2312"/>
          <w:b/>
          <w:bCs/>
          <w:color w:val="000000"/>
        </w:rPr>
        <w:t>7.在创新管理上，坚持标准引领。一是</w:t>
      </w:r>
      <w:r>
        <w:rPr>
          <w:rFonts w:hint="eastAsia" w:ascii="仿宋_GB2312"/>
          <w:color w:val="000000"/>
        </w:rPr>
        <w:t>推广星级楼宇。宣贯落实《商务楼宇星级评定》标准规范，挂牌一批星级楼宇，发挥示范带动作用，积极提升商务楼宇标准化运营环境；</w:t>
      </w:r>
      <w:r>
        <w:rPr>
          <w:rFonts w:hint="eastAsia" w:ascii="仿宋_GB2312" w:hAnsi="仿宋_GB2312" w:cs="仿宋_GB2312"/>
          <w:b/>
          <w:bCs/>
          <w:color w:val="000000"/>
        </w:rPr>
        <w:t>二是</w:t>
      </w:r>
      <w:r>
        <w:rPr>
          <w:rFonts w:hint="eastAsia" w:ascii="仿宋_GB2312" w:hAnsi="仿宋_GB2312" w:cs="仿宋_GB2312"/>
          <w:color w:val="000000"/>
        </w:rPr>
        <w:t>扩大影响层级。</w:t>
      </w:r>
      <w:r>
        <w:rPr>
          <w:rFonts w:hint="eastAsia" w:ascii="仿宋_GB2312"/>
          <w:color w:val="000000"/>
        </w:rPr>
        <w:t>依托区委宣传部和各类自媒体平台，全方位、多角度、多题材宣传星级楼宇特色亮点，组织物管企业分批现场学习交流，举办“星级楼宇媒体开放日”等活动，向公众近距离展示星级楼宇魅力，进一步推广放大标准示范影响力。</w:t>
      </w:r>
    </w:p>
    <w:p>
      <w:pPr>
        <w:pStyle w:val="2"/>
        <w:spacing w:after="0" w:line="560" w:lineRule="exact"/>
        <w:ind w:firstLine="652" w:firstLineChars="200"/>
        <w:rPr>
          <w:rFonts w:ascii="仿宋_GB2312" w:hAnsi="仿宋_GB2312" w:cs="仿宋_GB2312"/>
          <w:color w:val="000000"/>
          <w:szCs w:val="32"/>
        </w:rPr>
      </w:pPr>
      <w:r>
        <w:rPr>
          <w:rFonts w:hint="eastAsia" w:ascii="仿宋_GB2312" w:hAnsi="宋体"/>
          <w:b/>
          <w:color w:val="000000"/>
          <w:szCs w:val="32"/>
        </w:rPr>
        <w:t>8.在部门决策上，坚持数据“说话”。</w:t>
      </w:r>
      <w:r>
        <w:rPr>
          <w:rFonts w:hint="eastAsia" w:ascii="仿宋_GB2312" w:hAnsi="宋体"/>
          <w:bCs/>
          <w:color w:val="000000"/>
          <w:szCs w:val="32"/>
        </w:rPr>
        <w:t>持续</w:t>
      </w:r>
      <w:r>
        <w:rPr>
          <w:rFonts w:hint="eastAsia" w:ascii="仿宋_GB2312" w:hAnsi="仿宋_GB2312" w:cs="仿宋_GB2312"/>
          <w:bCs/>
          <w:color w:val="000000"/>
          <w:szCs w:val="32"/>
        </w:rPr>
        <w:t>深化楼宇数据信息对经济工作的指导作用，打造“数字楼宇应用第一区”。</w:t>
      </w:r>
      <w:r>
        <w:rPr>
          <w:rFonts w:hint="eastAsia" w:ascii="仿宋_GB2312" w:hAnsi="仿宋_GB2312" w:cs="仿宋_GB2312"/>
          <w:color w:val="000000"/>
          <w:szCs w:val="32"/>
        </w:rPr>
        <w:t>做好与“鼓楼智脑”大平台的定期数据交互，结合日常数据归集工作，夯实产业分布、注册落户等经济底数，为政企资源精准对接、企业服务和监管等提供线索和决策依据；进一步扩大平台影响力和实效，探索推动平台与各类市场化主体协同发展。</w:t>
      </w:r>
    </w:p>
    <w:p>
      <w:pPr>
        <w:pStyle w:val="2"/>
        <w:spacing w:after="0" w:line="560" w:lineRule="exact"/>
        <w:ind w:firstLine="652" w:firstLineChars="200"/>
        <w:rPr>
          <w:rFonts w:ascii="仿宋_GB2312" w:hAnsi="仿宋_GB2312" w:cs="仿宋_GB2312"/>
          <w:color w:val="000000"/>
          <w:szCs w:val="32"/>
        </w:rPr>
      </w:pPr>
      <w:r>
        <w:rPr>
          <w:rFonts w:hint="eastAsia" w:ascii="仿宋_GB2312" w:hAnsi="宋体"/>
          <w:b/>
          <w:color w:val="000000"/>
          <w:szCs w:val="32"/>
        </w:rPr>
        <w:t>9.在政策推动上，坚持落实落细。</w:t>
      </w:r>
      <w:r>
        <w:rPr>
          <w:rFonts w:hint="eastAsia" w:ascii="仿宋_GB2312" w:hAnsi="仿宋_GB2312" w:cs="仿宋_GB2312"/>
          <w:b/>
          <w:color w:val="000000"/>
          <w:szCs w:val="32"/>
        </w:rPr>
        <w:t>一是</w:t>
      </w:r>
      <w:r>
        <w:rPr>
          <w:rFonts w:hint="eastAsia" w:ascii="仿宋_GB2312" w:hAnsi="仿宋_GB2312" w:cs="仿宋_GB2312"/>
          <w:bCs/>
          <w:color w:val="000000"/>
          <w:szCs w:val="32"/>
        </w:rPr>
        <w:t>强化政策引导。</w:t>
      </w:r>
      <w:r>
        <w:rPr>
          <w:rFonts w:hint="eastAsia" w:ascii="仿宋_GB2312"/>
          <w:color w:val="000000"/>
          <w:szCs w:val="32"/>
        </w:rPr>
        <w:t>大力宣传推广“楼宇八条政策”中市场化差异化改造提升楼宇的有关条款，引导市场主体解放思想，灵活多样地开展楼宇整体改造和运营；</w:t>
      </w:r>
      <w:r>
        <w:rPr>
          <w:rFonts w:hint="eastAsia" w:ascii="仿宋_GB2312" w:hAnsi="仿宋_GB2312" w:cs="仿宋_GB2312"/>
          <w:b/>
          <w:color w:val="000000"/>
          <w:szCs w:val="32"/>
        </w:rPr>
        <w:t>二是</w:t>
      </w:r>
      <w:r>
        <w:rPr>
          <w:rFonts w:hint="eastAsia" w:ascii="仿宋_GB2312" w:hAnsi="仿宋_GB2312" w:cs="仿宋_GB2312"/>
          <w:bCs/>
          <w:color w:val="000000"/>
          <w:szCs w:val="32"/>
        </w:rPr>
        <w:t>守住安全底线。对于暂无法全面改造提升的楼宇，除继续落实</w:t>
      </w:r>
      <w:r>
        <w:rPr>
          <w:rFonts w:hint="eastAsia" w:ascii="仿宋_GB2312" w:hAnsi="仿宋_GB2312" w:cs="仿宋_GB2312"/>
          <w:color w:val="000000"/>
          <w:szCs w:val="32"/>
        </w:rPr>
        <w:t>《鼓楼区关于加强电梯质量安全工作的实施意见》外，</w:t>
      </w:r>
      <w:r>
        <w:rPr>
          <w:rFonts w:hint="eastAsia" w:ascii="仿宋_GB2312" w:hAnsi="仿宋_GB2312" w:cs="仿宋_GB2312"/>
          <w:bCs/>
          <w:color w:val="000000"/>
          <w:szCs w:val="32"/>
        </w:rPr>
        <w:t>出台各类配套政策措施，持续开展客梯修复改造更新、水电管网维修、安全隐患治理等工作，扶持与监管并举，打好“安全补丁”。</w:t>
      </w:r>
      <w:r>
        <w:rPr>
          <w:rFonts w:hint="eastAsia" w:ascii="仿宋_GB2312" w:hAnsi="仿宋_GB2312" w:cs="仿宋_GB2312"/>
          <w:b/>
          <w:color w:val="000000"/>
          <w:szCs w:val="32"/>
        </w:rPr>
        <w:t>三是</w:t>
      </w:r>
      <w:r>
        <w:rPr>
          <w:rFonts w:hint="eastAsia" w:ascii="仿宋_GB2312" w:hAnsi="仿宋_GB2312" w:cs="仿宋_GB2312"/>
          <w:bCs/>
          <w:color w:val="000000"/>
          <w:szCs w:val="32"/>
        </w:rPr>
        <w:t>开展“政策进楼”活动，提升各级政策知晓率和利用率，</w:t>
      </w:r>
      <w:r>
        <w:rPr>
          <w:rFonts w:hint="eastAsia" w:ascii="仿宋_GB2312" w:hAnsi="仿宋_GB2312" w:cs="仿宋_GB2312"/>
          <w:color w:val="000000"/>
          <w:szCs w:val="32"/>
        </w:rPr>
        <w:t>切实解决企业难点和痛点问题。</w:t>
      </w:r>
    </w:p>
    <w:p>
      <w:pPr>
        <w:spacing w:line="560" w:lineRule="exact"/>
        <w:ind w:firstLine="602"/>
        <w:rPr>
          <w:rFonts w:ascii="仿宋_GB2312" w:hAnsi="仿宋_GB2312" w:cs="仿宋_GB2312"/>
          <w:color w:val="000000"/>
          <w:szCs w:val="32"/>
        </w:rPr>
      </w:pPr>
      <w:r>
        <w:rPr>
          <w:rFonts w:hint="eastAsia" w:ascii="仿宋_GB2312" w:hAnsi="仿宋_GB2312" w:cs="仿宋_GB2312"/>
          <w:b/>
          <w:bCs/>
          <w:color w:val="000000"/>
          <w:szCs w:val="32"/>
        </w:rPr>
        <w:t>10.在设施管理上，坚持绿色发展。</w:t>
      </w:r>
      <w:r>
        <w:rPr>
          <w:rFonts w:hint="eastAsia" w:ascii="仿宋_GB2312" w:hAnsi="仿宋_GB2312" w:cs="仿宋_GB2312"/>
          <w:color w:val="000000"/>
          <w:szCs w:val="32"/>
        </w:rPr>
        <w:t>深化楼宇节能环保建设。培养商务楼宇节能减排意识，落实楼宇垃圾分类办法，鼓励有条件的楼宇实行环保优化措施，提升能耗管理水平，进一步强化社会经济效应。</w:t>
      </w:r>
    </w:p>
    <w:p>
      <w:pPr>
        <w:snapToGrid w:val="0"/>
        <w:spacing w:line="560" w:lineRule="exact"/>
        <w:ind w:firstLine="652" w:firstLineChars="20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（二）提升楼宇服务力</w:t>
      </w:r>
    </w:p>
    <w:p>
      <w:pPr>
        <w:pStyle w:val="10"/>
        <w:spacing w:before="0" w:beforeAutospacing="0" w:after="0" w:afterAutospacing="0" w:line="560" w:lineRule="exact"/>
        <w:ind w:firstLine="652" w:firstLineChars="200"/>
        <w:jc w:val="both"/>
        <w:rPr>
          <w:rFonts w:ascii="仿宋_GB2312" w:hAnsi="仿宋_GB2312" w:cs="仿宋_GB2312"/>
          <w:color w:val="000000"/>
          <w:sz w:val="32"/>
          <w:szCs w:val="32"/>
          <w:shd w:val="clear" w:color="auto" w:fill="FFFFFF"/>
        </w:rPr>
      </w:pPr>
      <w:r>
        <w:rPr>
          <w:rFonts w:hint="eastAsia" w:ascii="仿宋_GB2312" w:hAnsi="楷体"/>
          <w:color w:val="000000"/>
          <w:sz w:val="32"/>
          <w:szCs w:val="32"/>
        </w:rPr>
        <w:t>提升公共服务水平，深入实践《楼宇经济公共服务规范》和</w:t>
      </w:r>
      <w:r>
        <w:rPr>
          <w:rFonts w:hint="eastAsia" w:ascii="仿宋_GB2312"/>
          <w:color w:val="000000"/>
          <w:sz w:val="32"/>
          <w:szCs w:val="32"/>
        </w:rPr>
        <w:t>《鼓楼区提升楼宇服务实施意见》</w:t>
      </w:r>
      <w:r>
        <w:rPr>
          <w:rFonts w:hint="eastAsia" w:ascii="仿宋_GB2312" w:hAnsi="楷体"/>
          <w:color w:val="000000"/>
          <w:sz w:val="32"/>
          <w:szCs w:val="32"/>
        </w:rPr>
        <w:t>，深化结合“重点企业服务直通车”和“一楼八员”等成熟的服务体系</w:t>
      </w:r>
      <w:r>
        <w:rPr>
          <w:rFonts w:hint="eastAsia" w:ascii="仿宋_GB2312" w:hAnsi="仿宋_GB2312" w:cs="仿宋_GB2312"/>
          <w:color w:val="000000"/>
          <w:sz w:val="32"/>
          <w:szCs w:val="32"/>
        </w:rPr>
        <w:t>，</w:t>
      </w:r>
      <w:r>
        <w:rPr>
          <w:rFonts w:hint="eastAsia" w:ascii="仿宋_GB2312" w:hAnsi="楷体"/>
          <w:color w:val="000000"/>
          <w:sz w:val="32"/>
          <w:szCs w:val="32"/>
        </w:rPr>
        <w:t>以</w:t>
      </w:r>
      <w:r>
        <w:rPr>
          <w:rFonts w:hint="eastAsia" w:ascii="仿宋_GB2312" w:hAnsi="仿宋_GB2312" w:cs="仿宋_GB2312"/>
          <w:color w:val="000000"/>
          <w:sz w:val="32"/>
          <w:szCs w:val="32"/>
          <w:shd w:val="clear" w:color="auto" w:fill="FFFFFF"/>
        </w:rPr>
        <w:t>全面、高效、精细的服务理念推动楼宇经济高质量发展。</w:t>
      </w:r>
    </w:p>
    <w:p>
      <w:pPr>
        <w:pStyle w:val="10"/>
        <w:spacing w:before="0" w:beforeAutospacing="0" w:after="0" w:afterAutospacing="0" w:line="560" w:lineRule="exact"/>
        <w:ind w:firstLine="652" w:firstLineChars="200"/>
        <w:jc w:val="both"/>
        <w:rPr>
          <w:rFonts w:ascii="仿宋_GB2312" w:hAnsi="楷体"/>
          <w:color w:val="000000"/>
          <w:sz w:val="32"/>
          <w:szCs w:val="32"/>
        </w:rPr>
      </w:pPr>
      <w:r>
        <w:rPr>
          <w:rFonts w:hint="eastAsia" w:ascii="仿宋_GB2312" w:hAnsi="楷体"/>
          <w:b/>
          <w:bCs/>
          <w:color w:val="000000"/>
          <w:sz w:val="32"/>
          <w:szCs w:val="32"/>
        </w:rPr>
        <w:t>11.加强基层建设，强化党建服务力。</w:t>
      </w:r>
      <w:r>
        <w:rPr>
          <w:rFonts w:hint="eastAsia" w:ascii="仿宋_GB2312" w:hAnsi="楷体"/>
          <w:color w:val="000000"/>
          <w:sz w:val="32"/>
          <w:szCs w:val="32"/>
        </w:rPr>
        <w:t>充分发挥城市基层党建专职工作者职能，委派一批楼宇“党代表”，开展党建活动。联合楼宇物业“红色楼管家”，探索建立党建联盟，推进资源共享、活动共办、阵地共用，覆盖形成“五四路楼宇党建示范带”，推动党务、政务、社务等资源下沉，加强基层党组织对楼宇企业的服务作用。</w:t>
      </w:r>
    </w:p>
    <w:p>
      <w:pPr>
        <w:spacing w:line="560" w:lineRule="exact"/>
        <w:ind w:firstLine="652" w:firstLineChars="200"/>
        <w:rPr>
          <w:rFonts w:ascii="仿宋_GB2312" w:hAnsi="仿宋_GB2312" w:cs="仿宋_GB2312"/>
          <w:color w:val="000000"/>
          <w:szCs w:val="32"/>
        </w:rPr>
      </w:pPr>
      <w:r>
        <w:rPr>
          <w:rFonts w:hint="eastAsia" w:ascii="仿宋_GB2312" w:cs="宋体"/>
          <w:b/>
          <w:bCs/>
          <w:color w:val="000000"/>
          <w:kern w:val="0"/>
          <w:szCs w:val="32"/>
        </w:rPr>
        <w:t>12</w:t>
      </w:r>
      <w:r>
        <w:rPr>
          <w:rFonts w:hint="eastAsia" w:ascii="仿宋_GB2312" w:hAnsi="Calibri" w:cs="宋体"/>
          <w:b/>
          <w:bCs/>
          <w:color w:val="000000"/>
          <w:kern w:val="0"/>
          <w:szCs w:val="32"/>
        </w:rPr>
        <w:t>.加强体系</w:t>
      </w:r>
      <w:r>
        <w:rPr>
          <w:rFonts w:hint="eastAsia" w:ascii="仿宋_GB2312" w:cs="宋体"/>
          <w:b/>
          <w:bCs/>
          <w:color w:val="000000"/>
          <w:kern w:val="0"/>
          <w:szCs w:val="32"/>
        </w:rPr>
        <w:t>改革</w:t>
      </w:r>
      <w:r>
        <w:rPr>
          <w:rFonts w:hint="eastAsia" w:ascii="仿宋_GB2312" w:hAnsi="Calibri" w:cs="宋体"/>
          <w:b/>
          <w:bCs/>
          <w:color w:val="000000"/>
          <w:kern w:val="0"/>
          <w:szCs w:val="32"/>
        </w:rPr>
        <w:t>，</w:t>
      </w:r>
      <w:r>
        <w:rPr>
          <w:rFonts w:hint="eastAsia" w:ascii="仿宋_GB2312" w:cs="宋体"/>
          <w:b/>
          <w:bCs/>
          <w:color w:val="000000"/>
          <w:kern w:val="0"/>
          <w:szCs w:val="32"/>
        </w:rPr>
        <w:t>优化</w:t>
      </w:r>
      <w:r>
        <w:rPr>
          <w:rFonts w:hint="eastAsia" w:ascii="仿宋_GB2312" w:hAnsi="Calibri" w:cs="宋体"/>
          <w:b/>
          <w:bCs/>
          <w:color w:val="000000"/>
          <w:kern w:val="0"/>
          <w:szCs w:val="32"/>
        </w:rPr>
        <w:t>行政服务力。</w:t>
      </w:r>
      <w:r>
        <w:rPr>
          <w:rFonts w:hint="eastAsia" w:ascii="仿宋_GB2312" w:cs="宋体"/>
          <w:b/>
          <w:bCs/>
          <w:color w:val="000000"/>
          <w:kern w:val="0"/>
          <w:szCs w:val="32"/>
        </w:rPr>
        <w:t>一是</w:t>
      </w:r>
      <w:r>
        <w:rPr>
          <w:rFonts w:hint="eastAsia" w:ascii="仿宋_GB2312" w:hAnsi="仿宋_GB2312" w:cs="仿宋_GB2312"/>
          <w:color w:val="000000"/>
          <w:szCs w:val="32"/>
          <w:shd w:val="clear" w:color="auto" w:fill="FFFFFF"/>
        </w:rPr>
        <w:t>优化“一楼八员”服务体系。以“楼宇专员+物管人员”作为常驻落脚点，加强房管行业力量，调整税务、市场、公安为区域统筹，完善形成“2+N”的楼宇经纪服务团队</w:t>
      </w:r>
      <w:r>
        <w:rPr>
          <w:rFonts w:hint="eastAsia" w:ascii="仿宋_GB2312"/>
          <w:color w:val="000000"/>
          <w:szCs w:val="32"/>
        </w:rPr>
        <w:t>；</w:t>
      </w:r>
      <w:r>
        <w:rPr>
          <w:rFonts w:hint="eastAsia" w:ascii="仿宋_GB2312"/>
          <w:b/>
          <w:bCs/>
          <w:color w:val="000000"/>
          <w:szCs w:val="32"/>
        </w:rPr>
        <w:t>二是</w:t>
      </w:r>
      <w:r>
        <w:rPr>
          <w:rFonts w:hint="eastAsia" w:ascii="仿宋_GB2312"/>
          <w:color w:val="000000"/>
          <w:szCs w:val="32"/>
        </w:rPr>
        <w:t>提升专业服务能力。持续结合轮岗、集中培训、述职考核等多种方式，普遍提升楼宇专员的政策宣讲、招商推介、数据运用、企业服务等综合实力</w:t>
      </w:r>
      <w:r>
        <w:rPr>
          <w:rFonts w:hint="eastAsia" w:ascii="仿宋_GB2312" w:hAnsi="仿宋_GB2312" w:cs="仿宋_GB2312"/>
          <w:color w:val="000000"/>
          <w:szCs w:val="32"/>
          <w:shd w:val="clear" w:color="auto" w:fill="FFFFFF"/>
        </w:rPr>
        <w:t>。</w:t>
      </w:r>
    </w:p>
    <w:p>
      <w:pPr>
        <w:widowControl/>
        <w:spacing w:line="560" w:lineRule="exact"/>
        <w:ind w:firstLine="652" w:firstLineChars="200"/>
        <w:contextualSpacing/>
        <w:rPr>
          <w:rFonts w:ascii="仿宋_GB2312" w:hAnsi="仿宋_GB2312" w:cs="仿宋_GB2312"/>
          <w:color w:val="000000"/>
        </w:rPr>
      </w:pPr>
      <w:r>
        <w:rPr>
          <w:rFonts w:hint="eastAsia" w:ascii="仿宋_GB2312" w:hAnsi="仿宋_GB2312" w:cs="仿宋_GB2312"/>
          <w:b/>
          <w:bCs/>
          <w:color w:val="000000"/>
          <w:szCs w:val="32"/>
        </w:rPr>
        <w:t>13.加强行业指导，深化内生服务力。一是</w:t>
      </w:r>
      <w:r>
        <w:rPr>
          <w:rFonts w:hint="eastAsia" w:ascii="仿宋_GB2312" w:hAnsi="仿宋_GB2312" w:cs="仿宋_GB2312"/>
          <w:color w:val="000000"/>
          <w:szCs w:val="32"/>
        </w:rPr>
        <w:t>加强物管人才建设。</w:t>
      </w:r>
      <w:r>
        <w:rPr>
          <w:rFonts w:hint="eastAsia" w:ascii="仿宋_GB2312"/>
          <w:color w:val="000000"/>
          <w:szCs w:val="32"/>
        </w:rPr>
        <w:t>引进、培育一批具有专业素养的物管人才，加强职业道德教育和专业技术培训，以卓越的人才队伍驱动楼宇经济高质量发展；</w:t>
      </w:r>
      <w:r>
        <w:rPr>
          <w:rFonts w:hint="eastAsia" w:ascii="仿宋_GB2312"/>
          <w:b/>
          <w:bCs/>
          <w:color w:val="000000"/>
          <w:szCs w:val="32"/>
        </w:rPr>
        <w:t>二是</w:t>
      </w:r>
      <w:r>
        <w:rPr>
          <w:rFonts w:hint="eastAsia" w:ascii="仿宋_GB2312"/>
          <w:color w:val="000000"/>
          <w:szCs w:val="32"/>
        </w:rPr>
        <w:t>加强楼宇物业制度建设。依托</w:t>
      </w:r>
      <w:r>
        <w:rPr>
          <w:rFonts w:hint="eastAsia" w:ascii="仿宋_GB2312" w:hAnsi="仿宋_GB2312" w:cs="仿宋_GB2312"/>
          <w:color w:val="000000"/>
          <w:szCs w:val="32"/>
        </w:rPr>
        <w:t>商务楼宇物业管理协会，深入指导</w:t>
      </w:r>
      <w:r>
        <w:rPr>
          <w:rFonts w:hint="eastAsia" w:ascii="仿宋_GB2312"/>
          <w:color w:val="000000"/>
          <w:szCs w:val="32"/>
        </w:rPr>
        <w:t>楼宇建立健全各项现代化物业管理制度，促进物业体系文件规范化、档案化和电子化，指导楼宇建立严格的人员岗位责任制度和考核制度；</w:t>
      </w:r>
      <w:r>
        <w:rPr>
          <w:rFonts w:hint="eastAsia" w:ascii="仿宋_GB2312" w:hAnsi="宋体"/>
          <w:color w:val="000000"/>
          <w:szCs w:val="32"/>
        </w:rPr>
        <w:t>推进楼宇公共经营收益、硬件维保费用等事项公示制度，强化物业收支管理；</w:t>
      </w:r>
      <w:r>
        <w:rPr>
          <w:rFonts w:hint="eastAsia" w:ascii="仿宋_GB2312" w:hAnsi="仿宋_GB2312" w:cs="仿宋_GB2312"/>
          <w:b/>
          <w:bCs/>
          <w:color w:val="000000"/>
          <w:szCs w:val="32"/>
        </w:rPr>
        <w:t>三是</w:t>
      </w:r>
      <w:r>
        <w:rPr>
          <w:rFonts w:hint="eastAsia" w:ascii="仿宋_GB2312"/>
          <w:color w:val="000000"/>
          <w:szCs w:val="22"/>
        </w:rPr>
        <w:t>引进国内外知名的商务楼宇物业管理公司</w:t>
      </w:r>
      <w:r>
        <w:rPr>
          <w:rFonts w:hint="eastAsia" w:ascii="仿宋_GB2312" w:hAnsi="仿宋_GB2312" w:cs="仿宋_GB2312"/>
          <w:color w:val="000000"/>
        </w:rPr>
        <w:t>，扶持、壮大本地优秀物业管理企业，同时</w:t>
      </w:r>
      <w:r>
        <w:rPr>
          <w:rFonts w:hint="eastAsia" w:ascii="仿宋_GB2312" w:hAnsi="仿宋" w:cs="仿宋"/>
          <w:color w:val="000000"/>
          <w:szCs w:val="32"/>
        </w:rPr>
        <w:t>加强与行业协会、咨询顾问、规划研究等专业机构合作，提升楼宇经济服务水平</w:t>
      </w:r>
      <w:r>
        <w:rPr>
          <w:rFonts w:hint="eastAsia" w:ascii="仿宋_GB2312" w:hAnsi="仿宋_GB2312" w:cs="仿宋_GB2312"/>
          <w:color w:val="000000"/>
        </w:rPr>
        <w:t>。</w:t>
      </w:r>
    </w:p>
    <w:p>
      <w:pPr>
        <w:pStyle w:val="2"/>
        <w:spacing w:after="0" w:line="560" w:lineRule="exact"/>
        <w:ind w:firstLine="652" w:firstLineChars="200"/>
        <w:rPr>
          <w:color w:val="000000"/>
        </w:rPr>
      </w:pPr>
      <w:r>
        <w:rPr>
          <w:rFonts w:hint="eastAsia" w:ascii="仿宋_GB2312"/>
          <w:b/>
          <w:bCs/>
          <w:color w:val="000000"/>
          <w:szCs w:val="32"/>
        </w:rPr>
        <w:t>14.加强技术对接，深化智慧服务力。</w:t>
      </w:r>
      <w:r>
        <w:rPr>
          <w:rFonts w:hint="eastAsia" w:ascii="仿宋_GB2312" w:hAnsi="仿宋_GB2312" w:cs="仿宋_GB2312"/>
          <w:color w:val="000000"/>
          <w:szCs w:val="32"/>
        </w:rPr>
        <w:t>推动楼宇软硬件服务向智慧化升级。结合防控时期经验，推动楼宇在日常和应急场景中引入各类智能设备和智慧化管理体系，鼓励有条件的楼宇整体定制智能化控制系统。</w:t>
      </w:r>
    </w:p>
    <w:p>
      <w:pPr>
        <w:snapToGrid w:val="0"/>
        <w:spacing w:line="560" w:lineRule="exact"/>
        <w:ind w:firstLine="640"/>
        <w:rPr>
          <w:rFonts w:ascii="楷体_GB2312" w:hAnsi="楷体_GB2312" w:eastAsia="楷体_GB2312" w:cs="楷体_GB2312"/>
          <w:color w:val="000000"/>
          <w:szCs w:val="32"/>
        </w:rPr>
      </w:pPr>
      <w:r>
        <w:rPr>
          <w:rFonts w:hint="eastAsia" w:ascii="楷体_GB2312" w:hAnsi="楷体_GB2312" w:eastAsia="楷体_GB2312" w:cs="楷体_GB2312"/>
          <w:color w:val="000000"/>
          <w:szCs w:val="32"/>
        </w:rPr>
        <w:t>（三）提升要素凝聚力</w:t>
      </w:r>
    </w:p>
    <w:p>
      <w:pPr>
        <w:snapToGrid w:val="0"/>
        <w:spacing w:line="560" w:lineRule="exact"/>
        <w:ind w:firstLine="652" w:firstLineChars="200"/>
        <w:rPr>
          <w:rFonts w:ascii="仿宋_GB2312" w:hAnsi="仿宋_GB2312" w:cs="仿宋_GB2312"/>
          <w:color w:val="000000"/>
          <w:szCs w:val="32"/>
        </w:rPr>
      </w:pPr>
      <w:r>
        <w:rPr>
          <w:rFonts w:hint="eastAsia" w:ascii="仿宋_GB2312" w:hAnsi="仿宋_GB2312" w:cs="仿宋_GB2312"/>
          <w:color w:val="000000"/>
          <w:szCs w:val="32"/>
        </w:rPr>
        <w:t>深入推进一批品牌、文化、营销和资本等要素资源向楼宇集聚，提升楼宇全要素竞争力，助力鼓楼楼宇经济实现更高质量、更有效率、更加公平、更可持续的发展。</w:t>
      </w:r>
    </w:p>
    <w:p>
      <w:pPr>
        <w:spacing w:line="560" w:lineRule="exact"/>
        <w:ind w:firstLine="652" w:firstLineChars="200"/>
        <w:rPr>
          <w:rFonts w:ascii="仿宋_GB2312" w:hAnsi="仿宋_GB2312" w:cs="仿宋_GB2312"/>
          <w:color w:val="000000"/>
          <w:szCs w:val="32"/>
        </w:rPr>
      </w:pPr>
      <w:r>
        <w:rPr>
          <w:rFonts w:hint="eastAsia" w:ascii="仿宋_GB2312" w:hAnsi="仿宋_GB2312" w:cs="仿宋_GB2312"/>
          <w:b/>
          <w:bCs/>
          <w:color w:val="000000"/>
          <w:szCs w:val="32"/>
        </w:rPr>
        <w:t>15.培养楼宇文化，提升载体活力。</w:t>
      </w:r>
      <w:r>
        <w:rPr>
          <w:rFonts w:hint="eastAsia" w:ascii="仿宋_GB2312" w:hAnsi="仿宋_GB2312" w:cs="仿宋_GB2312"/>
          <w:color w:val="000000"/>
          <w:szCs w:val="32"/>
        </w:rPr>
        <w:t>持续依托商务楼宇的公共空间或虚拟空间，整合社会各方资源开展楼宇“微文化”活动，打造一批有质感、有温度、有特色的楼宇公共文化成果；继续筹办楼宇文化节、CBD运动会等活动，加强楼内企业互动交流，提升就业吸附力，营造富有活力的载体氛围，提高鼓楼楼宇的知名度和美誉度。</w:t>
      </w:r>
    </w:p>
    <w:p>
      <w:pPr>
        <w:pStyle w:val="2"/>
        <w:spacing w:after="0" w:line="560" w:lineRule="exact"/>
        <w:ind w:firstLine="652" w:firstLineChars="200"/>
        <w:rPr>
          <w:rFonts w:ascii="仿宋_GB2312" w:hAnsi="仿宋_GB2312" w:cs="仿宋_GB2312"/>
          <w:color w:val="000000"/>
          <w:szCs w:val="32"/>
        </w:rPr>
      </w:pPr>
      <w:r>
        <w:rPr>
          <w:rFonts w:hint="eastAsia" w:ascii="仿宋_GB2312" w:hAnsi="仿宋_GB2312" w:cs="仿宋_GB2312"/>
          <w:b/>
          <w:bCs/>
          <w:color w:val="000000"/>
          <w:szCs w:val="32"/>
        </w:rPr>
        <w:t>16.加大宣传造势，扩大城市影响。一是</w:t>
      </w:r>
      <w:r>
        <w:rPr>
          <w:rFonts w:hint="eastAsia" w:ascii="仿宋_GB2312" w:hAnsi="仿宋" w:cs="仿宋"/>
          <w:color w:val="000000"/>
          <w:szCs w:val="32"/>
        </w:rPr>
        <w:t>扩大社会影响。策划</w:t>
      </w:r>
      <w:r>
        <w:rPr>
          <w:rFonts w:hint="eastAsia" w:ascii="仿宋_GB2312" w:hAnsi="仿宋_GB2312" w:cs="仿宋_GB2312"/>
          <w:color w:val="000000"/>
          <w:szCs w:val="32"/>
        </w:rPr>
        <w:t>我区楼宇经济专题宣传方案，充分利用电视、网络、报纸等各种载体，</w:t>
      </w:r>
      <w:r>
        <w:rPr>
          <w:rFonts w:hint="eastAsia" w:ascii="仿宋_GB2312" w:hAnsi="仿宋" w:cs="仿宋"/>
          <w:color w:val="000000"/>
          <w:szCs w:val="32"/>
        </w:rPr>
        <w:t>持续宣传、及时报道楼宇经济工作的新进展和新举措，</w:t>
      </w:r>
      <w:r>
        <w:rPr>
          <w:rFonts w:hint="eastAsia" w:ascii="仿宋_GB2312" w:hAnsi="仿宋_GB2312" w:cs="仿宋_GB2312"/>
          <w:color w:val="000000"/>
          <w:szCs w:val="32"/>
        </w:rPr>
        <w:t>引导社会各界广泛参与，持续营造良好舆论氛围。</w:t>
      </w:r>
      <w:r>
        <w:rPr>
          <w:rFonts w:hint="eastAsia" w:ascii="仿宋_GB2312" w:hAnsi="仿宋" w:cs="仿宋"/>
          <w:b/>
          <w:bCs/>
          <w:color w:val="000000"/>
          <w:szCs w:val="32"/>
        </w:rPr>
        <w:t>二是</w:t>
      </w:r>
      <w:r>
        <w:rPr>
          <w:rFonts w:hint="eastAsia" w:ascii="仿宋_GB2312" w:hAnsi="仿宋" w:cs="仿宋"/>
          <w:color w:val="000000"/>
          <w:szCs w:val="32"/>
        </w:rPr>
        <w:t>开展比学亮晒。深入</w:t>
      </w:r>
      <w:r>
        <w:rPr>
          <w:rFonts w:hint="eastAsia" w:ascii="仿宋_GB2312" w:hAnsi="仿宋_GB2312" w:cs="仿宋_GB2312"/>
          <w:color w:val="000000"/>
          <w:szCs w:val="32"/>
        </w:rPr>
        <w:t>贯彻落实“一线工作法”，加强统筹协调，组织监督检查，总结提炼好措施、好做法，</w:t>
      </w:r>
      <w:r>
        <w:rPr>
          <w:rFonts w:hint="eastAsia" w:ascii="仿宋_GB2312" w:hAnsi="宋体"/>
          <w:bCs/>
          <w:color w:val="000000"/>
          <w:szCs w:val="32"/>
        </w:rPr>
        <w:t>确保各项工作有序推进。</w:t>
      </w:r>
    </w:p>
    <w:p>
      <w:pPr>
        <w:pStyle w:val="2"/>
        <w:spacing w:after="0" w:line="560" w:lineRule="exact"/>
        <w:ind w:firstLine="652" w:firstLineChars="200"/>
        <w:rPr>
          <w:rFonts w:ascii="仿宋_GB2312" w:hAnsi="仿宋_GB2312" w:cs="仿宋_GB2312"/>
          <w:color w:val="000000"/>
          <w:szCs w:val="32"/>
        </w:rPr>
      </w:pPr>
      <w:r>
        <w:rPr>
          <w:rFonts w:hint="eastAsia" w:ascii="仿宋_GB2312" w:hAnsi="仿宋_GB2312" w:cs="仿宋_GB2312"/>
          <w:b/>
          <w:bCs/>
          <w:color w:val="000000"/>
          <w:szCs w:val="32"/>
        </w:rPr>
        <w:t>17.拓展对外交流，吸收先进经验。</w:t>
      </w:r>
      <w:r>
        <w:rPr>
          <w:rFonts w:hint="eastAsia" w:ascii="仿宋_GB2312" w:hAnsi="仿宋_GB2312" w:cs="仿宋_GB2312"/>
          <w:color w:val="000000"/>
          <w:szCs w:val="32"/>
        </w:rPr>
        <w:t>积极参加中国楼宇经济峰会等区域、城市间大型论坛活动，提升鼓楼在全国楼宇经济的地位和曝光率，在对外宣传我区楼宇经济发展成果的同时，学习吸收先进地区的好经验、好做法。</w:t>
      </w:r>
    </w:p>
    <w:p>
      <w:pPr>
        <w:pStyle w:val="2"/>
        <w:spacing w:after="0" w:line="560" w:lineRule="exact"/>
        <w:ind w:firstLine="652" w:firstLineChars="200"/>
        <w:rPr>
          <w:color w:val="000000"/>
        </w:rPr>
      </w:pPr>
      <w:r>
        <w:rPr>
          <w:rFonts w:hint="eastAsia" w:ascii="仿宋_GB2312" w:hAnsi="仿宋" w:cs="仿宋"/>
          <w:b/>
          <w:bCs/>
          <w:color w:val="000000"/>
          <w:szCs w:val="32"/>
        </w:rPr>
        <w:t>18.</w:t>
      </w:r>
      <w:r>
        <w:rPr>
          <w:rFonts w:hint="eastAsia" w:ascii="仿宋_GB2312" w:hAnsi="仿宋_GB2312" w:cs="仿宋_GB2312"/>
          <w:b/>
          <w:bCs/>
          <w:color w:val="000000"/>
        </w:rPr>
        <w:t>整合社会资源，提高市场活力。</w:t>
      </w:r>
      <w:r>
        <w:rPr>
          <w:rFonts w:hint="eastAsia" w:ascii="仿宋_GB2312" w:hAnsi="仿宋_GB2312" w:cs="仿宋_GB2312"/>
          <w:color w:val="000000"/>
        </w:rPr>
        <w:t>加强资本引流。</w:t>
      </w:r>
      <w:r>
        <w:rPr>
          <w:rFonts w:hint="eastAsia" w:ascii="仿宋_GB2312"/>
          <w:color w:val="000000"/>
          <w:szCs w:val="32"/>
        </w:rPr>
        <w:t>进一步扩大政策覆盖面和金融支持面，吸引各类社会资本积极参与地块更新、市场化改造和楼宇运营，提升楼宇资产属性。</w:t>
      </w:r>
    </w:p>
    <w:p>
      <w:pPr>
        <w:snapToGrid w:val="0"/>
        <w:spacing w:line="560" w:lineRule="exact"/>
        <w:ind w:firstLine="652" w:firstLineChars="200"/>
        <w:rPr>
          <w:rFonts w:ascii="仿宋_GB2312" w:hAnsi="仿宋_GB2312" w:cs="仿宋_GB2312"/>
          <w:color w:val="000000"/>
        </w:rPr>
      </w:pPr>
      <w:r>
        <w:rPr>
          <w:rFonts w:hint="eastAsia" w:ascii="仿宋_GB2312" w:hAnsi="仿宋_GB2312" w:cs="仿宋_GB2312"/>
          <w:b/>
          <w:bCs/>
          <w:color w:val="000000"/>
        </w:rPr>
        <w:t>19.</w:t>
      </w:r>
      <w:r>
        <w:rPr>
          <w:rFonts w:hint="eastAsia" w:ascii="仿宋_GB2312"/>
          <w:b/>
          <w:bCs/>
          <w:color w:val="000000"/>
          <w:szCs w:val="32"/>
        </w:rPr>
        <w:t>构建楼宇智库，推动社会治理。</w:t>
      </w:r>
      <w:r>
        <w:rPr>
          <w:rFonts w:hint="eastAsia" w:ascii="仿宋_GB2312" w:hAnsi="仿宋_GB2312" w:cs="仿宋_GB2312"/>
          <w:color w:val="000000"/>
          <w:szCs w:val="32"/>
        </w:rPr>
        <w:t>面向社会各界培育“楼宇智囊团”，参与、协助我区楼宇经济相关规划研究、政策制定、标准认证、等级评定、项目评审等专项工作，逐步实现社会组织有机推动我区楼宇经济高质量发展。</w:t>
      </w:r>
    </w:p>
    <w:p>
      <w:pPr>
        <w:spacing w:line="560" w:lineRule="exact"/>
        <w:ind w:firstLine="640"/>
        <w:outlineLvl w:val="1"/>
        <w:rPr>
          <w:rFonts w:eastAsia="黑体" w:cs="Calibri"/>
          <w:bCs/>
          <w:color w:val="000000"/>
          <w:kern w:val="0"/>
          <w:szCs w:val="32"/>
        </w:rPr>
      </w:pPr>
      <w:r>
        <w:rPr>
          <w:rFonts w:hint="eastAsia" w:hAnsi="宋体" w:eastAsia="黑体" w:cs="Calibri"/>
          <w:bCs/>
          <w:color w:val="000000"/>
          <w:kern w:val="0"/>
          <w:szCs w:val="32"/>
        </w:rPr>
        <w:t>二、工作要求</w:t>
      </w:r>
    </w:p>
    <w:p>
      <w:pPr>
        <w:spacing w:line="560" w:lineRule="exact"/>
        <w:ind w:firstLine="640"/>
        <w:outlineLvl w:val="2"/>
        <w:rPr>
          <w:rFonts w:ascii="仿宋_GB2312" w:cs="Calibri"/>
          <w:color w:val="000000"/>
          <w:kern w:val="0"/>
          <w:szCs w:val="32"/>
        </w:rPr>
      </w:pPr>
      <w:r>
        <w:rPr>
          <w:rFonts w:hint="eastAsia" w:ascii="楷体_GB2312" w:hAnsi="楷体" w:eastAsia="楷体_GB2312" w:cs="Calibri"/>
          <w:color w:val="000000"/>
          <w:szCs w:val="32"/>
        </w:rPr>
        <w:t>（一）明确分工，落实责任。</w:t>
      </w:r>
      <w:r>
        <w:rPr>
          <w:rFonts w:hint="eastAsia" w:ascii="仿宋_GB2312" w:hAnsi="仿宋_GB2312" w:cs="仿宋_GB2312"/>
          <w:color w:val="000000"/>
          <w:szCs w:val="32"/>
        </w:rPr>
        <w:t>各成员单位要明确职责分工，把责任落实到位。行业主管部门要积极落实规划、引导、培育等职责；监督管理部门要按照各自职责落实好监管、保障工作；相关街镇要切实落实属地服务等责任。</w:t>
      </w:r>
    </w:p>
    <w:p>
      <w:pPr>
        <w:spacing w:line="560" w:lineRule="exact"/>
        <w:ind w:firstLine="652" w:firstLineChars="200"/>
        <w:outlineLvl w:val="2"/>
        <w:rPr>
          <w:rFonts w:ascii="仿宋_GB2312" w:cs="Calibri"/>
          <w:color w:val="000000"/>
          <w:kern w:val="0"/>
          <w:szCs w:val="32"/>
        </w:rPr>
      </w:pPr>
      <w:r>
        <w:rPr>
          <w:rFonts w:hint="eastAsia" w:ascii="楷体_GB2312" w:hAnsi="楷体" w:eastAsia="楷体_GB2312" w:cs="Calibri"/>
          <w:color w:val="000000"/>
          <w:szCs w:val="32"/>
        </w:rPr>
        <w:t>（二）部门联动，统筹协调。</w:t>
      </w:r>
      <w:r>
        <w:rPr>
          <w:rFonts w:hint="eastAsia" w:ascii="仿宋_GB2312" w:hAnsi="仿宋_GB2312" w:cs="仿宋_GB2312"/>
          <w:color w:val="000000"/>
          <w:szCs w:val="32"/>
        </w:rPr>
        <w:t>各成员单位要立足全区，加强沟通协作，在加快发展楼宇经济上真正形成联动工作格局和协同服务体系，共同促进我区楼宇经济健康快速发展。</w:t>
      </w:r>
    </w:p>
    <w:p>
      <w:pPr>
        <w:pStyle w:val="2"/>
        <w:spacing w:after="0" w:line="560" w:lineRule="exact"/>
        <w:ind w:firstLine="652" w:firstLineChars="200"/>
        <w:rPr>
          <w:rFonts w:ascii="仿宋_GB2312" w:hAnsi="仿宋_GB2312" w:cs="仿宋_GB2312"/>
          <w:color w:val="000000"/>
          <w:szCs w:val="32"/>
        </w:rPr>
      </w:pPr>
      <w:r>
        <w:rPr>
          <w:rFonts w:hint="eastAsia" w:ascii="楷体_GB2312" w:hAnsi="楷体" w:eastAsia="楷体_GB2312" w:cs="Calibri"/>
          <w:color w:val="000000"/>
          <w:szCs w:val="32"/>
        </w:rPr>
        <w:t>（三）项目推动，月报进度。</w:t>
      </w:r>
      <w:r>
        <w:rPr>
          <w:rFonts w:hint="eastAsia" w:ascii="仿宋_GB2312" w:hAnsi="仿宋_GB2312" w:cs="仿宋_GB2312"/>
          <w:color w:val="000000"/>
          <w:szCs w:val="32"/>
        </w:rPr>
        <w:t>为及时掌握楼宇经济发展进度，督促相关部门和街镇加快楼宇经济推进工作，相关部门和街镇根据任务清单，于每月3日前，向区楼宇经济工作领导小组办公室书面报送任务进展情况及需提交领导小组协调解决的问题，区楼宇经济工作领导小组办公室每月通报各成员单位有效做法措施和工作中存在的不足之处。区委、区政府督查室</w:t>
      </w:r>
      <w:r>
        <w:rPr>
          <w:rFonts w:hint="eastAsia" w:ascii="仿宋_GB2312" w:hAnsi="仿宋"/>
          <w:color w:val="000000"/>
          <w:szCs w:val="20"/>
        </w:rPr>
        <w:t>运用我区大督查工作机制，强化督查督办，督促各部门和街镇工作任务进展。</w:t>
      </w:r>
      <w:r>
        <w:rPr>
          <w:rFonts w:hint="eastAsia" w:ascii="仿宋_GB2312" w:hAnsi="仿宋"/>
          <w:color w:val="000000"/>
          <w:szCs w:val="20"/>
        </w:rPr>
        <w:br w:type="textWrapping"/>
      </w:r>
      <w:r>
        <w:rPr>
          <w:rFonts w:hint="eastAsia" w:ascii="仿宋_GB2312" w:hAnsi="仿宋"/>
          <w:color w:val="000000"/>
          <w:szCs w:val="20"/>
        </w:rPr>
        <w:t xml:space="preserve">    </w:t>
      </w:r>
      <w:r>
        <w:rPr>
          <w:rFonts w:hint="eastAsia" w:ascii="楷体_GB2312" w:hAnsi="楷体_GB2312" w:eastAsia="楷体_GB2312" w:cs="楷体_GB2312"/>
          <w:color w:val="000000"/>
          <w:szCs w:val="20"/>
        </w:rPr>
        <w:t>（四）量化评估，总结复盘。</w:t>
      </w:r>
      <w:r>
        <w:rPr>
          <w:rFonts w:hint="eastAsia" w:ascii="仿宋_GB2312" w:hAnsi="仿宋_GB2312" w:cs="仿宋_GB2312"/>
          <w:color w:val="000000"/>
          <w:szCs w:val="32"/>
        </w:rPr>
        <w:t>通过数据报表、问卷调查、座谈会等形式，对百栋重点楼宇的提升效果进行量化评估，总结三年来各项工作取得的进展和成效，并进一步总结宣传，形成可复制、可推广的先进经验，同时通过“回头看”查缺补漏，结合当前经济形势提出下一步调整策略。</w:t>
      </w:r>
    </w:p>
    <w:p>
      <w:pPr>
        <w:pStyle w:val="2"/>
        <w:spacing w:after="0" w:line="560" w:lineRule="exact"/>
        <w:rPr>
          <w:color w:val="000000"/>
        </w:rPr>
      </w:pPr>
    </w:p>
    <w:p>
      <w:pPr>
        <w:spacing w:line="560" w:lineRule="exact"/>
        <w:ind w:firstLine="604"/>
        <w:outlineLvl w:val="2"/>
        <w:rPr>
          <w:rFonts w:ascii="仿宋_GB2312" w:hAnsi="仿宋_GB2312" w:cs="仿宋_GB2312"/>
          <w:color w:val="000000"/>
          <w:szCs w:val="32"/>
        </w:rPr>
      </w:pPr>
      <w:r>
        <w:rPr>
          <w:rFonts w:hint="eastAsia" w:ascii="仿宋_GB2312" w:hAnsi="仿宋_GB2312" w:cs="仿宋_GB2312"/>
          <w:bCs/>
          <w:color w:val="000000"/>
        </w:rPr>
        <w:t>附件：</w:t>
      </w:r>
      <w:r>
        <w:rPr>
          <w:rFonts w:hint="eastAsia" w:ascii="仿宋_GB2312" w:hAnsi="仿宋_GB2312" w:cs="仿宋_GB2312"/>
          <w:color w:val="000000"/>
          <w:szCs w:val="32"/>
        </w:rPr>
        <w:t>2020年鼓楼区关于深入实施“提升壮大百栋重点楼</w:t>
      </w:r>
    </w:p>
    <w:p>
      <w:pPr>
        <w:spacing w:line="560" w:lineRule="exact"/>
        <w:ind w:firstLine="1590" w:firstLineChars="488"/>
        <w:outlineLvl w:val="2"/>
        <w:rPr>
          <w:rFonts w:ascii="仿宋_GB2312" w:hAnsi="仿宋_GB2312" w:cs="仿宋_GB2312"/>
          <w:bCs/>
          <w:color w:val="000000"/>
        </w:rPr>
        <w:sectPr>
          <w:footerReference r:id="rId3" w:type="default"/>
          <w:footerReference r:id="rId4" w:type="even"/>
          <w:pgSz w:w="11906" w:h="16838"/>
          <w:pgMar w:top="1967" w:right="1474" w:bottom="1899" w:left="1588" w:header="851" w:footer="1049" w:gutter="0"/>
          <w:cols w:space="720" w:num="1"/>
          <w:docGrid w:type="linesAndChars" w:linePitch="590" w:charSpace="1229"/>
        </w:sectPr>
      </w:pPr>
      <w:r>
        <w:rPr>
          <w:rFonts w:hint="eastAsia" w:ascii="仿宋_GB2312" w:hAnsi="仿宋_GB2312" w:cs="仿宋_GB2312"/>
          <w:color w:val="000000"/>
          <w:szCs w:val="32"/>
        </w:rPr>
        <w:t>宇打造新时代鼓楼楼宇经济升级版”工作</w:t>
      </w:r>
      <w:r>
        <w:rPr>
          <w:rFonts w:hint="eastAsia" w:ascii="仿宋_GB2312" w:hAnsi="仿宋_GB2312" w:cs="仿宋_GB2312"/>
          <w:bCs/>
          <w:color w:val="000000"/>
        </w:rPr>
        <w:t>责任清单</w:t>
      </w:r>
    </w:p>
    <w:p>
      <w:pPr>
        <w:spacing w:line="520" w:lineRule="exact"/>
        <w:ind w:firstLine="612" w:firstLineChars="200"/>
        <w:rPr>
          <w:rFonts w:ascii="黑体" w:hAnsi="黑体" w:eastAsia="黑体" w:cs="黑体"/>
          <w:bCs/>
          <w:color w:val="000000"/>
          <w:spacing w:val="-11"/>
          <w:szCs w:val="32"/>
        </w:rPr>
      </w:pPr>
      <w:r>
        <w:rPr>
          <w:rFonts w:hint="eastAsia" w:ascii="黑体" w:hAnsi="黑体" w:eastAsia="黑体" w:cs="黑体"/>
          <w:bCs/>
          <w:color w:val="000000"/>
          <w:spacing w:val="-11"/>
          <w:szCs w:val="32"/>
        </w:rPr>
        <w:t>附件</w:t>
      </w:r>
    </w:p>
    <w:p>
      <w:pPr>
        <w:pStyle w:val="2"/>
        <w:spacing w:after="0" w:line="52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2020年鼓楼区关于深入实施“提升壮大百栋重点楼宇 </w:t>
      </w:r>
    </w:p>
    <w:p>
      <w:pPr>
        <w:pStyle w:val="2"/>
        <w:spacing w:after="0" w:line="520" w:lineRule="exact"/>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color w:val="000000"/>
          <w:sz w:val="36"/>
          <w:szCs w:val="36"/>
        </w:rPr>
        <w:t>打造新时代鼓楼楼宇经济升级版”工作</w:t>
      </w:r>
      <w:r>
        <w:rPr>
          <w:rFonts w:hint="eastAsia" w:ascii="方正小标宋简体" w:hAnsi="方正小标宋简体" w:eastAsia="方正小标宋简体" w:cs="方正小标宋简体"/>
          <w:bCs/>
          <w:color w:val="000000"/>
          <w:sz w:val="36"/>
          <w:szCs w:val="36"/>
        </w:rPr>
        <w:t>责任清单</w:t>
      </w:r>
    </w:p>
    <w:tbl>
      <w:tblPr>
        <w:tblStyle w:val="11"/>
        <w:tblpPr w:leftFromText="180" w:rightFromText="180" w:vertAnchor="text" w:horzAnchor="page" w:tblpXSpec="center" w:tblpY="650"/>
        <w:tblOverlap w:val="never"/>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5" w:type="dxa"/>
          <w:bottom w:w="0" w:type="dxa"/>
          <w:right w:w="15" w:type="dxa"/>
        </w:tblCellMar>
      </w:tblPr>
      <w:tblGrid>
        <w:gridCol w:w="441"/>
        <w:gridCol w:w="567"/>
        <w:gridCol w:w="1457"/>
        <w:gridCol w:w="6288"/>
        <w:gridCol w:w="1522"/>
        <w:gridCol w:w="2449"/>
        <w:gridCol w:w="130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875" w:hRule="atLeast"/>
          <w:jc w:val="center"/>
        </w:trPr>
        <w:tc>
          <w:tcPr>
            <w:tcW w:w="441" w:type="dxa"/>
            <w:tcBorders>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序号</w:t>
            </w:r>
          </w:p>
        </w:tc>
        <w:tc>
          <w:tcPr>
            <w:tcW w:w="56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项目名称</w:t>
            </w:r>
          </w:p>
        </w:tc>
        <w:tc>
          <w:tcPr>
            <w:tcW w:w="145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主要内容</w:t>
            </w:r>
          </w:p>
        </w:tc>
        <w:tc>
          <w:tcPr>
            <w:tcW w:w="6288"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主要项目</w:t>
            </w:r>
          </w:p>
        </w:tc>
        <w:tc>
          <w:tcPr>
            <w:tcW w:w="1522"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牵头单位</w:t>
            </w:r>
          </w:p>
        </w:tc>
        <w:tc>
          <w:tcPr>
            <w:tcW w:w="244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配合单位</w:t>
            </w:r>
          </w:p>
        </w:tc>
        <w:tc>
          <w:tcPr>
            <w:tcW w:w="1300" w:type="dxa"/>
            <w:tcBorders>
              <w:left w:val="single" w:color="auto" w:sz="4" w:space="0"/>
              <w:bottom w:val="single" w:color="auto" w:sz="4" w:space="0"/>
            </w:tcBorders>
            <w:vAlign w:val="center"/>
          </w:tcPr>
          <w:p>
            <w:pPr>
              <w:autoSpaceDN w:val="0"/>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sz w:val="24"/>
              </w:rPr>
              <w:t>分管区领导</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840"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hint="eastAsia" w:ascii="仿宋_GB2312" w:hAnsi="仿宋_GB2312" w:cs="仿宋_GB2312"/>
                <w:bCs/>
                <w:color w:val="000000"/>
                <w:sz w:val="24"/>
              </w:rPr>
            </w:pPr>
            <w:r>
              <w:rPr>
                <w:rFonts w:hint="eastAsia" w:ascii="仿宋_GB2312" w:hAnsi="仿宋_GB2312" w:cs="仿宋_GB2312"/>
                <w:bCs/>
                <w:color w:val="000000"/>
                <w:sz w:val="24"/>
              </w:rPr>
              <w:t>1</w:t>
            </w:r>
          </w:p>
        </w:tc>
        <w:tc>
          <w:tcPr>
            <w:tcW w:w="567" w:type="dxa"/>
            <w:vMerge w:val="restart"/>
            <w:tcBorders>
              <w:top w:val="single" w:color="auto" w:sz="4" w:space="0"/>
              <w:left w:val="single" w:color="auto" w:sz="4" w:space="0"/>
              <w:right w:val="single" w:color="auto" w:sz="4" w:space="0"/>
            </w:tcBorders>
            <w:vAlign w:val="center"/>
          </w:tcPr>
          <w:p>
            <w:pPr>
              <w:tabs>
                <w:tab w:val="left" w:pos="281"/>
              </w:tabs>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hint="eastAsia" w:ascii="仿宋_GB2312" w:hAnsi="仿宋" w:cs="仿宋"/>
                <w:color w:val="000000"/>
                <w:sz w:val="24"/>
              </w:rPr>
            </w:pPr>
            <w:r>
              <w:rPr>
                <w:rFonts w:hint="eastAsia" w:ascii="仿宋_GB2312" w:hAnsi="仿宋_GB2312" w:cs="仿宋_GB2312"/>
                <w:bCs/>
                <w:color w:val="000000"/>
                <w:sz w:val="24"/>
              </w:rPr>
              <w:t>谋划一批地块资源</w:t>
            </w: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东水路省水文总站及周边旧改地块（面积约16.26亩，地块功能为商业、办公，2020年完成用地规划方案）</w:t>
            </w:r>
          </w:p>
        </w:tc>
        <w:tc>
          <w:tcPr>
            <w:tcW w:w="1522"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（旧改办）</w:t>
            </w: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eastAsia="宋体"/>
                <w:color w:val="000000"/>
              </w:rPr>
            </w:pPr>
            <w:r>
              <w:rPr>
                <w:rFonts w:hint="eastAsia" w:ascii="仿宋_GB2312" w:hAnsi="仿宋_GB2312" w:cs="仿宋_GB2312"/>
                <w:color w:val="000000"/>
                <w:sz w:val="24"/>
              </w:rPr>
              <w:t>区城投集团，温泉街道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程文光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910"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2</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程厝里旧屋区地块（面积约16.60亩，地块功能为商业、办公、住宅，2020年完成用地规划方案）</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温泉街道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谢裕波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1013"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3</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朱紫坊南入口地块（面积约3.5亩，地块功能为商业，2020年完成用地规划方案和前期手续）</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区城投集团，安泰街道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王茂盛</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1019" w:hRule="atLeast"/>
          <w:jc w:val="center"/>
        </w:trPr>
        <w:tc>
          <w:tcPr>
            <w:tcW w:w="441" w:type="dxa"/>
            <w:tcBorders>
              <w:top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4</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原嘉达纺织厂商务办公地块（面积约17.4亩，地块功能为商业、办公，2020年完成土地出让、用地规划和前期手续）</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区城投集团，五凤街道</w:t>
            </w:r>
          </w:p>
        </w:tc>
        <w:tc>
          <w:tcPr>
            <w:tcW w:w="1300" w:type="dxa"/>
            <w:tcBorders>
              <w:top w:val="single" w:color="auto" w:sz="4" w:space="0"/>
              <w:left w:val="single" w:color="auto" w:sz="4" w:space="0"/>
              <w:bottom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张朝阳</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5" w:type="dxa"/>
            <w:bottom w:w="0" w:type="dxa"/>
            <w:right w:w="15" w:type="dxa"/>
          </w:tblCellMar>
        </w:tblPrEx>
        <w:trPr>
          <w:trHeight w:val="1187" w:hRule="atLeast"/>
          <w:jc w:val="center"/>
        </w:trPr>
        <w:tc>
          <w:tcPr>
            <w:tcW w:w="441" w:type="dxa"/>
            <w:tcBorders>
              <w:top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5</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bCs/>
                <w:color w:val="000000"/>
                <w:sz w:val="24"/>
              </w:rPr>
            </w:pPr>
          </w:p>
        </w:tc>
        <w:tc>
          <w:tcPr>
            <w:tcW w:w="1457" w:type="dxa"/>
            <w:vMerge w:val="continue"/>
            <w:tcBorders>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p>
        </w:tc>
        <w:tc>
          <w:tcPr>
            <w:tcW w:w="6288" w:type="dxa"/>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bCs/>
                <w:color w:val="000000"/>
                <w:sz w:val="24"/>
              </w:rPr>
            </w:pPr>
            <w:r>
              <w:rPr>
                <w:rFonts w:hint="eastAsia" w:ascii="仿宋_GB2312" w:hAnsi="仿宋_GB2312" w:cs="仿宋_GB2312"/>
                <w:bCs/>
                <w:color w:val="000000"/>
                <w:sz w:val="24"/>
              </w:rPr>
              <w:t>原嘉达纺织厂自用地块（面积约25亩，地块功能为办公，2020年完成建设规划和前期手续）</w:t>
            </w:r>
          </w:p>
        </w:tc>
        <w:tc>
          <w:tcPr>
            <w:tcW w:w="1522" w:type="dxa"/>
            <w:vMerge w:val="continue"/>
            <w:tcBorders>
              <w:left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p>
        </w:tc>
        <w:tc>
          <w:tcPr>
            <w:tcW w:w="2449" w:type="dxa"/>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w:t>
            </w:r>
          </w:p>
          <w:p>
            <w:pPr>
              <w:autoSpaceDN w:val="0"/>
              <w:spacing w:line="400" w:lineRule="exact"/>
              <w:jc w:val="left"/>
              <w:textAlignment w:val="center"/>
              <w:rPr>
                <w:rFonts w:hint="eastAsia" w:ascii="仿宋_GB2312" w:hAnsi="仿宋_GB2312" w:cs="仿宋_GB2312"/>
                <w:color w:val="000000"/>
                <w:sz w:val="24"/>
              </w:rPr>
            </w:pPr>
            <w:r>
              <w:rPr>
                <w:rFonts w:hint="eastAsia" w:ascii="仿宋_GB2312" w:hAnsi="仿宋_GB2312" w:cs="仿宋_GB2312"/>
                <w:color w:val="000000"/>
                <w:sz w:val="24"/>
              </w:rPr>
              <w:t>区城投集团，五凤街道</w:t>
            </w:r>
          </w:p>
        </w:tc>
        <w:tc>
          <w:tcPr>
            <w:tcW w:w="1300" w:type="dxa"/>
            <w:tcBorders>
              <w:top w:val="single" w:color="auto" w:sz="4" w:space="0"/>
              <w:left w:val="single" w:color="auto" w:sz="4" w:space="0"/>
            </w:tcBorders>
            <w:vAlign w:val="center"/>
          </w:tcPr>
          <w:p>
            <w:pPr>
              <w:autoSpaceDN w:val="0"/>
              <w:spacing w:line="400" w:lineRule="exact"/>
              <w:jc w:val="center"/>
              <w:textAlignment w:val="center"/>
              <w:rPr>
                <w:rFonts w:hint="eastAsia" w:ascii="仿宋_GB2312" w:hAnsi="仿宋_GB2312" w:cs="仿宋_GB2312"/>
                <w:color w:val="000000"/>
                <w:sz w:val="24"/>
              </w:rPr>
            </w:pPr>
            <w:r>
              <w:rPr>
                <w:rFonts w:hint="eastAsia" w:ascii="仿宋_GB2312" w:hAnsi="仿宋_GB2312" w:cs="仿宋_GB2312"/>
                <w:color w:val="000000"/>
                <w:sz w:val="24"/>
              </w:rPr>
              <w:t>张朝阳</w:t>
            </w:r>
          </w:p>
        </w:tc>
      </w:tr>
    </w:tbl>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hint="eastAsia" w:ascii="方正小标宋简体" w:hAnsi="方正小标宋简体" w:eastAsia="方正小标宋简体" w:cs="方正小标宋简体"/>
          <w:bCs/>
          <w:color w:val="000000"/>
          <w:sz w:val="36"/>
          <w:szCs w:val="36"/>
        </w:rPr>
      </w:pPr>
    </w:p>
    <w:p>
      <w:pPr>
        <w:pStyle w:val="2"/>
        <w:spacing w:after="0" w:line="560" w:lineRule="exact"/>
        <w:rPr>
          <w:rFonts w:ascii="方正小标宋简体" w:hAnsi="方正小标宋简体" w:eastAsia="方正小标宋简体" w:cs="方正小标宋简体"/>
          <w:bCs/>
          <w:color w:val="000000"/>
          <w:sz w:val="36"/>
          <w:szCs w:val="36"/>
        </w:rPr>
      </w:pPr>
    </w:p>
    <w:tbl>
      <w:tblPr>
        <w:tblStyle w:val="11"/>
        <w:tblpPr w:leftFromText="180" w:rightFromText="180" w:vertAnchor="text" w:horzAnchor="page" w:tblpXSpec="center" w:tblpY="53"/>
        <w:tblOverlap w:val="never"/>
        <w:tblW w:w="0" w:type="auto"/>
        <w:jc w:val="center"/>
        <w:tblLayout w:type="fixed"/>
        <w:tblCellMar>
          <w:top w:w="0" w:type="dxa"/>
          <w:left w:w="15" w:type="dxa"/>
          <w:bottom w:w="0" w:type="dxa"/>
          <w:right w:w="15" w:type="dxa"/>
        </w:tblCellMar>
      </w:tblPr>
      <w:tblGrid>
        <w:gridCol w:w="441"/>
        <w:gridCol w:w="567"/>
        <w:gridCol w:w="1972"/>
        <w:gridCol w:w="5773"/>
        <w:gridCol w:w="1907"/>
        <w:gridCol w:w="2064"/>
        <w:gridCol w:w="1300"/>
      </w:tblGrid>
      <w:tr>
        <w:tblPrEx>
          <w:tblCellMar>
            <w:top w:w="0" w:type="dxa"/>
            <w:left w:w="15" w:type="dxa"/>
            <w:bottom w:w="0" w:type="dxa"/>
            <w:right w:w="15" w:type="dxa"/>
          </w:tblCellMar>
        </w:tblPrEx>
        <w:trPr>
          <w:trHeight w:val="90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项目名称</w:t>
            </w:r>
          </w:p>
        </w:tc>
        <w:tc>
          <w:tcPr>
            <w:tcW w:w="197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06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74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6</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972"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新建一批新鲜载体，整体规划提升五四路商务集聚区周边环境。</w:t>
            </w: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建工集团总部大楼项目（面积9.89亩，企业自用，2020年完成勘察，规划、设计等前期手续）</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温泉街道</w:t>
            </w:r>
          </w:p>
        </w:tc>
        <w:tc>
          <w:tcPr>
            <w:tcW w:w="206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程文光</w:t>
            </w:r>
          </w:p>
        </w:tc>
      </w:tr>
      <w:tr>
        <w:tblPrEx>
          <w:tblCellMar>
            <w:top w:w="0" w:type="dxa"/>
            <w:left w:w="15" w:type="dxa"/>
            <w:bottom w:w="0" w:type="dxa"/>
            <w:right w:w="15" w:type="dxa"/>
          </w:tblCellMar>
        </w:tblPrEx>
        <w:trPr>
          <w:trHeight w:val="75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7</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汇川物联研发大楼项目（面积16.13亩，企业自用，2020年完成用地手续办理和建设规划）</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洪山镇</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慧</w:t>
            </w:r>
          </w:p>
        </w:tc>
      </w:tr>
      <w:tr>
        <w:tblPrEx>
          <w:tblCellMar>
            <w:top w:w="0" w:type="dxa"/>
            <w:left w:w="15" w:type="dxa"/>
            <w:bottom w:w="0" w:type="dxa"/>
            <w:right w:w="15" w:type="dxa"/>
          </w:tblCellMar>
        </w:tblPrEx>
        <w:trPr>
          <w:trHeight w:val="78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8</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原嘉达纺织地块商业综合体项目（规划建设商业面积2.05万平方米，2020年完成建设规划）</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五凤街道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诚</w:t>
            </w:r>
          </w:p>
        </w:tc>
      </w:tr>
      <w:tr>
        <w:tblPrEx>
          <w:tblCellMar>
            <w:top w:w="0" w:type="dxa"/>
            <w:left w:w="15" w:type="dxa"/>
            <w:bottom w:w="0" w:type="dxa"/>
            <w:right w:w="15" w:type="dxa"/>
          </w:tblCellMar>
        </w:tblPrEx>
        <w:trPr>
          <w:trHeight w:val="80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9</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东街商务中心项目（建设商务办公楼，建筑面积1.79万平方米，2020年完成地下室结构施工）</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东街街道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周  恒</w:t>
            </w:r>
          </w:p>
        </w:tc>
      </w:tr>
      <w:tr>
        <w:tblPrEx>
          <w:tblCellMar>
            <w:top w:w="0" w:type="dxa"/>
            <w:left w:w="15" w:type="dxa"/>
            <w:bottom w:w="0" w:type="dxa"/>
            <w:right w:w="15" w:type="dxa"/>
          </w:tblCellMar>
        </w:tblPrEx>
        <w:trPr>
          <w:trHeight w:val="84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10</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color w:val="000000"/>
                <w:sz w:val="24"/>
              </w:rPr>
              <w:t>华润万象城项目（</w:t>
            </w:r>
            <w:r>
              <w:rPr>
                <w:rFonts w:hint="eastAsia" w:ascii="仿宋_GB2312" w:hAnsi="仿宋_GB2312" w:cs="仿宋_GB2312"/>
                <w:bCs/>
                <w:color w:val="000000"/>
                <w:sz w:val="24"/>
              </w:rPr>
              <w:t>建设</w:t>
            </w:r>
            <w:r>
              <w:rPr>
                <w:rFonts w:hint="eastAsia" w:ascii="仿宋_GB2312" w:hAnsi="仿宋_GB2312" w:cs="仿宋_GB2312"/>
                <w:color w:val="000000"/>
                <w:sz w:val="24"/>
              </w:rPr>
              <w:t>5栋商务办公楼，建筑面积11.8万平方米，2020年建成投用）</w:t>
            </w:r>
          </w:p>
        </w:tc>
        <w:tc>
          <w:tcPr>
            <w:tcW w:w="190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洪山镇</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106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11</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闽投营运中心项目（建设双塔楼结构商务楼宇。总建筑面积约11万平方米，2020年完成主体建设）</w:t>
            </w:r>
          </w:p>
        </w:tc>
        <w:tc>
          <w:tcPr>
            <w:tcW w:w="190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水部街道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106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12</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972"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577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香格里拉二期项目（建设商务办公楼，总建筑面积13.9万平方米，2020年完成地下施工，并开始主体施工）</w:t>
            </w:r>
          </w:p>
        </w:tc>
        <w:tc>
          <w:tcPr>
            <w:tcW w:w="1907"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安泰街道</w:t>
            </w:r>
          </w:p>
        </w:tc>
        <w:tc>
          <w:tcPr>
            <w:tcW w:w="206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bl>
    <w:p>
      <w:pPr>
        <w:pStyle w:val="2"/>
        <w:spacing w:line="540" w:lineRule="exact"/>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pPr w:leftFromText="180" w:rightFromText="180" w:vertAnchor="text" w:horzAnchor="page" w:tblpXSpec="center" w:tblpY="102"/>
        <w:tblOverlap w:val="never"/>
        <w:tblW w:w="0" w:type="auto"/>
        <w:jc w:val="center"/>
        <w:tblLayout w:type="fixed"/>
        <w:tblCellMar>
          <w:top w:w="0" w:type="dxa"/>
          <w:left w:w="15" w:type="dxa"/>
          <w:bottom w:w="0" w:type="dxa"/>
          <w:right w:w="15" w:type="dxa"/>
        </w:tblCellMar>
      </w:tblPr>
      <w:tblGrid>
        <w:gridCol w:w="441"/>
        <w:gridCol w:w="567"/>
        <w:gridCol w:w="1667"/>
        <w:gridCol w:w="6078"/>
        <w:gridCol w:w="1737"/>
        <w:gridCol w:w="2234"/>
        <w:gridCol w:w="1300"/>
      </w:tblGrid>
      <w:tr>
        <w:tblPrEx>
          <w:tblCellMar>
            <w:top w:w="0" w:type="dxa"/>
            <w:left w:w="15" w:type="dxa"/>
            <w:bottom w:w="0" w:type="dxa"/>
            <w:right w:w="15" w:type="dxa"/>
          </w:tblCellMar>
        </w:tblPrEx>
        <w:trPr>
          <w:trHeight w:val="92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项目名称</w:t>
            </w: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23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90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13</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提升政府引导力</w:t>
            </w:r>
          </w:p>
        </w:tc>
        <w:tc>
          <w:tcPr>
            <w:tcW w:w="1667"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bCs/>
                <w:color w:val="000000"/>
                <w:sz w:val="24"/>
              </w:rPr>
            </w:pPr>
            <w:r>
              <w:rPr>
                <w:rFonts w:hint="eastAsia" w:ascii="仿宋_GB2312" w:hAnsi="仿宋_GB2312" w:cs="仿宋_GB2312"/>
                <w:bCs/>
                <w:color w:val="000000"/>
                <w:sz w:val="24"/>
              </w:rPr>
              <w:t>新建一批新鲜载体，整体规划提升五四路商务集聚区周边环境。</w:t>
            </w: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友谊大厦帮助解决当前纠纷问题，重新启动施工。</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水部街道</w:t>
            </w:r>
          </w:p>
        </w:tc>
        <w:tc>
          <w:tcPr>
            <w:tcW w:w="2234" w:type="dxa"/>
            <w:vMerge w:val="restart"/>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1456"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14</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汇城中心项目（规划建设两座商务办公楼，总建筑面积约为4.8万平方米，2020年计划将地下室土方工程进度推进至80%）</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温泉街道</w:t>
            </w:r>
          </w:p>
        </w:tc>
        <w:tc>
          <w:tcPr>
            <w:tcW w:w="2234"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李瑞琨</w:t>
            </w:r>
          </w:p>
        </w:tc>
      </w:tr>
      <w:tr>
        <w:tblPrEx>
          <w:tblCellMar>
            <w:top w:w="0" w:type="dxa"/>
            <w:left w:w="15" w:type="dxa"/>
            <w:bottom w:w="0" w:type="dxa"/>
            <w:right w:w="15" w:type="dxa"/>
          </w:tblCellMar>
        </w:tblPrEx>
        <w:trPr>
          <w:trHeight w:val="112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15</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福建邮政广场项目（规划建设商务办公楼，总建筑面积8.7万平方米，2020年完成内部装修和周边景观改造）</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温泉街道</w:t>
            </w:r>
          </w:p>
        </w:tc>
        <w:tc>
          <w:tcPr>
            <w:tcW w:w="2234"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程文光</w:t>
            </w:r>
          </w:p>
        </w:tc>
      </w:tr>
      <w:tr>
        <w:tblPrEx>
          <w:tblCellMar>
            <w:top w:w="0" w:type="dxa"/>
            <w:left w:w="15" w:type="dxa"/>
            <w:bottom w:w="0" w:type="dxa"/>
            <w:right w:w="15" w:type="dxa"/>
          </w:tblCellMar>
        </w:tblPrEx>
        <w:trPr>
          <w:trHeight w:val="1702"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16</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兴业银行建设集团福州营运中心项目（规划建设综合商务办公楼，总建筑面积约14.36平方米，2020年完成主体施工图设计审查、总承包招标，并启动土方、桩基、围护结构施工）</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鼓东街道</w:t>
            </w:r>
          </w:p>
        </w:tc>
        <w:tc>
          <w:tcPr>
            <w:tcW w:w="2234"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1387"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17</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bCs/>
                <w:color w:val="000000"/>
                <w:sz w:val="24"/>
              </w:rPr>
            </w:pP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振华大厦（规划建设一座商务办公楼，总建筑面积约为3.04万平方米，2020年完成主体工程的80%）</w:t>
            </w:r>
          </w:p>
        </w:tc>
        <w:tc>
          <w:tcPr>
            <w:tcW w:w="173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温泉街道</w:t>
            </w:r>
          </w:p>
        </w:tc>
        <w:tc>
          <w:tcPr>
            <w:tcW w:w="2234"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谢裕波</w:t>
            </w:r>
          </w:p>
        </w:tc>
      </w:tr>
    </w:tbl>
    <w:p>
      <w:pPr>
        <w:pStyle w:val="2"/>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pPr w:leftFromText="180" w:rightFromText="180" w:vertAnchor="text" w:horzAnchor="page" w:tblpXSpec="center" w:tblpY="201"/>
        <w:tblOverlap w:val="never"/>
        <w:tblW w:w="0" w:type="auto"/>
        <w:jc w:val="center"/>
        <w:tblLayout w:type="fixed"/>
        <w:tblCellMar>
          <w:top w:w="0" w:type="dxa"/>
          <w:left w:w="15" w:type="dxa"/>
          <w:bottom w:w="0" w:type="dxa"/>
          <w:right w:w="15" w:type="dxa"/>
        </w:tblCellMar>
      </w:tblPr>
      <w:tblGrid>
        <w:gridCol w:w="441"/>
        <w:gridCol w:w="567"/>
        <w:gridCol w:w="1327"/>
        <w:gridCol w:w="6035"/>
        <w:gridCol w:w="2130"/>
        <w:gridCol w:w="2224"/>
        <w:gridCol w:w="1300"/>
      </w:tblGrid>
      <w:tr>
        <w:tblPrEx>
          <w:tblCellMar>
            <w:top w:w="0" w:type="dxa"/>
            <w:left w:w="15" w:type="dxa"/>
            <w:bottom w:w="0" w:type="dxa"/>
            <w:right w:w="15" w:type="dxa"/>
          </w:tblCellMar>
        </w:tblPrEx>
        <w:trPr>
          <w:trHeight w:val="92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项目名称</w:t>
            </w:r>
          </w:p>
        </w:tc>
        <w:tc>
          <w:tcPr>
            <w:tcW w:w="132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68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18</w:t>
            </w:r>
          </w:p>
        </w:tc>
        <w:tc>
          <w:tcPr>
            <w:tcW w:w="567"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仿宋_GB2312" w:hAnsi="仿宋_GB2312" w:cs="仿宋_GB2312"/>
                <w:color w:val="000000"/>
                <w:sz w:val="24"/>
              </w:rPr>
              <w:t>提升政府引导力</w:t>
            </w:r>
          </w:p>
        </w:tc>
        <w:tc>
          <w:tcPr>
            <w:tcW w:w="1327" w:type="dxa"/>
            <w:vMerge w:val="restart"/>
            <w:tcBorders>
              <w:top w:val="single" w:color="auto" w:sz="4" w:space="0"/>
              <w:left w:val="single" w:color="auto" w:sz="4" w:space="0"/>
              <w:bottom w:val="single" w:color="auto" w:sz="4" w:space="0"/>
              <w:right w:val="single" w:color="auto" w:sz="4" w:space="0"/>
            </w:tcBorders>
            <w:vAlign w:val="center"/>
          </w:tcPr>
          <w:p>
            <w:pPr>
              <w:pStyle w:val="10"/>
              <w:wordWrap w:val="0"/>
              <w:snapToGrid w:val="0"/>
              <w:spacing w:before="0" w:beforeAutospacing="0" w:after="0" w:afterAutospacing="0" w:line="400" w:lineRule="exact"/>
              <w:rPr>
                <w:color w:val="000000"/>
              </w:rPr>
            </w:pPr>
            <w:r>
              <w:rPr>
                <w:rFonts w:hint="eastAsia" w:ascii="仿宋_GB2312" w:hAnsi="仿宋_GB2312" w:cs="仿宋_GB2312"/>
                <w:bCs/>
                <w:color w:val="000000"/>
              </w:rPr>
              <w:t>新建一批新鲜载体，整体规划提升五四路商务集聚区周边环境。</w:t>
            </w: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进一步完善规划设计</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hint="eastAsia" w:ascii="仿宋_GB2312" w:hAnsi="仿宋_GB2312" w:eastAsia="仿宋_GB2312" w:cs="仿宋_GB2312"/>
                <w:bCs/>
                <w:color w:val="000000"/>
                <w:sz w:val="24"/>
                <w:lang w:eastAsia="zh-CN"/>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区建设局，十街镇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9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19</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优化街巷道路指示牌设置</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区城管局</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郑炳锋</w:t>
            </w:r>
          </w:p>
        </w:tc>
      </w:tr>
      <w:tr>
        <w:tblPrEx>
          <w:tblCellMar>
            <w:top w:w="0" w:type="dxa"/>
            <w:left w:w="15" w:type="dxa"/>
            <w:bottom w:w="0" w:type="dxa"/>
            <w:right w:w="15" w:type="dxa"/>
          </w:tblCellMar>
        </w:tblPrEx>
        <w:trPr>
          <w:trHeight w:val="57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20</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优化楼宇周边道路，重点打通华润万象城、中寰广场周边路网。</w:t>
            </w:r>
          </w:p>
        </w:tc>
        <w:tc>
          <w:tcPr>
            <w:tcW w:w="213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区建设局</w:t>
            </w:r>
          </w:p>
        </w:tc>
        <w:tc>
          <w:tcPr>
            <w:tcW w:w="2224"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区城管局，十街镇</w:t>
            </w:r>
          </w:p>
        </w:tc>
        <w:tc>
          <w:tcPr>
            <w:tcW w:w="130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50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21</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提升东水路总体品质</w:t>
            </w:r>
          </w:p>
        </w:tc>
        <w:tc>
          <w:tcPr>
            <w:tcW w:w="213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2224"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130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r>
      <w:tr>
        <w:tblPrEx>
          <w:tblCellMar>
            <w:top w:w="0" w:type="dxa"/>
            <w:left w:w="15" w:type="dxa"/>
            <w:bottom w:w="0" w:type="dxa"/>
            <w:right w:w="15" w:type="dxa"/>
          </w:tblCellMar>
        </w:tblPrEx>
        <w:trPr>
          <w:trHeight w:val="90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22</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CBD绿化小品</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区园林中心</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区景观综合整治管理中心，十街镇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李正国</w:t>
            </w:r>
          </w:p>
        </w:tc>
      </w:tr>
      <w:tr>
        <w:tblPrEx>
          <w:tblCellMar>
            <w:top w:w="0" w:type="dxa"/>
            <w:left w:w="15" w:type="dxa"/>
            <w:bottom w:w="0" w:type="dxa"/>
            <w:right w:w="15" w:type="dxa"/>
          </w:tblCellMar>
        </w:tblPrEx>
        <w:trPr>
          <w:trHeight w:val="81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23</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信息化（5G）布局工程</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区数字办</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区“智慧鼓楼”管理服务中心，十街镇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90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24</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color w:val="000000"/>
              </w:rPr>
            </w:pPr>
            <w:r>
              <w:rPr>
                <w:rFonts w:hint="eastAsia" w:ascii="仿宋_GB2312" w:hAnsi="仿宋_GB2312" w:cs="仿宋_GB2312"/>
                <w:color w:val="000000"/>
                <w:sz w:val="24"/>
              </w:rPr>
              <w:t>改造提升一批老旧楼宇，推动存量治理多元化。</w:t>
            </w: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中山大厦（混合产权，建成于1995年，计划改造供电系统和大厦景观）</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（旧改办）</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r>
              <w:rPr>
                <w:rFonts w:hint="eastAsia" w:ascii="仿宋_GB2312" w:hAnsi="仿宋_GB2312" w:cs="仿宋_GB2312"/>
                <w:bCs/>
                <w:color w:val="000000"/>
                <w:sz w:val="24"/>
              </w:rPr>
              <w:t>鼓东街道</w:t>
            </w:r>
          </w:p>
        </w:tc>
        <w:tc>
          <w:tcPr>
            <w:tcW w:w="130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color w:val="000000"/>
              </w:rPr>
            </w:pPr>
            <w:r>
              <w:rPr>
                <w:rFonts w:hint="eastAsia" w:ascii="仿宋_GB2312" w:hAnsi="仿宋_GB2312" w:cs="仿宋_GB2312"/>
                <w:color w:val="000000"/>
                <w:sz w:val="24"/>
              </w:rPr>
              <w:t>林  渊</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178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25</w:t>
            </w:r>
          </w:p>
        </w:tc>
        <w:tc>
          <w:tcPr>
            <w:tcW w:w="56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132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603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置地广场（混合产权，建成于2002年，计划改造公共部分、标识标牌，新增监控系统，更换电梯）</w:t>
            </w:r>
          </w:p>
        </w:tc>
        <w:tc>
          <w:tcPr>
            <w:tcW w:w="213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（旧改办）</w:t>
            </w:r>
          </w:p>
        </w:tc>
        <w:tc>
          <w:tcPr>
            <w:tcW w:w="222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区房管局、区建设局、区市场监管局、区消防救援大队，</w:t>
            </w:r>
          </w:p>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温泉街道</w:t>
            </w:r>
          </w:p>
        </w:tc>
        <w:tc>
          <w:tcPr>
            <w:tcW w:w="130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r>
    </w:tbl>
    <w:p>
      <w:pPr>
        <w:pStyle w:val="2"/>
        <w:spacing w:line="480" w:lineRule="exact"/>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W w:w="0" w:type="auto"/>
        <w:jc w:val="center"/>
        <w:tblLayout w:type="fixed"/>
        <w:tblCellMar>
          <w:top w:w="0" w:type="dxa"/>
          <w:left w:w="15" w:type="dxa"/>
          <w:bottom w:w="0" w:type="dxa"/>
          <w:right w:w="15" w:type="dxa"/>
        </w:tblCellMar>
      </w:tblPr>
      <w:tblGrid>
        <w:gridCol w:w="370"/>
        <w:gridCol w:w="560"/>
        <w:gridCol w:w="1425"/>
        <w:gridCol w:w="5993"/>
        <w:gridCol w:w="1612"/>
        <w:gridCol w:w="3668"/>
        <w:gridCol w:w="832"/>
      </w:tblGrid>
      <w:tr>
        <w:tblPrEx>
          <w:tblCellMar>
            <w:top w:w="0" w:type="dxa"/>
            <w:left w:w="15" w:type="dxa"/>
            <w:bottom w:w="0" w:type="dxa"/>
            <w:right w:w="15" w:type="dxa"/>
          </w:tblCellMar>
        </w:tblPrEx>
        <w:trPr>
          <w:trHeight w:val="962"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黑体" w:hAnsi="黑体" w:eastAsia="黑体" w:cs="黑体"/>
                <w:bCs/>
                <w:color w:val="000000"/>
                <w:sz w:val="24"/>
              </w:rPr>
              <w:t>项目名称</w:t>
            </w:r>
          </w:p>
        </w:tc>
        <w:tc>
          <w:tcPr>
            <w:tcW w:w="142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黑体" w:hAnsi="黑体" w:eastAsia="黑体" w:cs="黑体"/>
                <w:bCs/>
                <w:color w:val="000000"/>
                <w:sz w:val="24"/>
              </w:rPr>
              <w:t>主要内容</w:t>
            </w: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960"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26</w:t>
            </w:r>
          </w:p>
        </w:tc>
        <w:tc>
          <w:tcPr>
            <w:tcW w:w="56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425"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改造提升一批老旧楼宇，推动存量治理多元化。</w:t>
            </w: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龙岩大厦（单一产权，建成于1994年，计划改造电梯、外墙粉刷、外围车道、消防栓和消防系统）</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区房管局、区建设局、区消防救援大队，</w:t>
            </w:r>
            <w:r>
              <w:rPr>
                <w:rFonts w:hint="eastAsia" w:ascii="仿宋_GB2312" w:hAnsi="仿宋_GB2312" w:cs="仿宋_GB2312"/>
                <w:bCs/>
                <w:color w:val="000000"/>
                <w:sz w:val="24"/>
              </w:rPr>
              <w:t>华大街道</w:t>
            </w:r>
          </w:p>
        </w:tc>
        <w:tc>
          <w:tcPr>
            <w:tcW w:w="832"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陈晓彬</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color w:val="000000"/>
              </w:rPr>
            </w:pPr>
            <w:r>
              <w:rPr>
                <w:rFonts w:hint="eastAsia" w:ascii="仿宋_GB2312" w:hAnsi="仿宋_GB2312" w:cs="仿宋_GB2312"/>
                <w:color w:val="000000"/>
                <w:sz w:val="24"/>
              </w:rPr>
              <w:t>林  渊</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791"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27</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金百合酒店（单一产权，建成于2014年，对外招商后，进行外立面改造及内部翻新）</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区房管局、区商务局区建设局，</w:t>
            </w:r>
          </w:p>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温泉街道、鼓东街道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873"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28</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天骅大厦（混合产权，建成于1994年，计划改造墙面粉刷、深度大理石、外墙瓷砖、消防管修缮和排污水管）</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区房管局、区建设局、区消防救援大队，</w:t>
            </w:r>
            <w:r>
              <w:rPr>
                <w:rFonts w:hint="eastAsia" w:ascii="仿宋_GB2312" w:hAnsi="仿宋_GB2312" w:cs="仿宋_GB2312"/>
                <w:bCs/>
                <w:color w:val="000000"/>
                <w:sz w:val="24"/>
              </w:rPr>
              <w:t>华大街道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535"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29</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东百大厦（混合产权，建成于1994年，计划改造3部电梯）</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区市场监管局</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区房管局，南街街道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165"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30</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铁道大厦（单一产权，建成于1988年，计划整体改造，包括外立面、消防、水电系统等，2020年计划完成2#楼改造）</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区房管局、区建设局、区商务局、区消防救援大队，水部街道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120"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31</w:t>
            </w:r>
          </w:p>
        </w:tc>
        <w:tc>
          <w:tcPr>
            <w:tcW w:w="560"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华闽大厦（混合产权，建成于1993年，计划改造消防通道、水泵房设备，更换电梯）</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区房管局、区建设局、区市场监管局、区消防救援大队，</w:t>
            </w:r>
            <w:r>
              <w:rPr>
                <w:rFonts w:hint="eastAsia" w:ascii="仿宋_GB2312" w:hAnsi="仿宋_GB2312" w:cs="仿宋_GB2312"/>
                <w:bCs/>
                <w:color w:val="000000"/>
                <w:sz w:val="24"/>
              </w:rPr>
              <w:t>鼓东街道</w:t>
            </w:r>
          </w:p>
        </w:tc>
        <w:tc>
          <w:tcPr>
            <w:tcW w:w="832"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074" w:hRule="atLeast"/>
          <w:jc w:val="center"/>
        </w:trPr>
        <w:tc>
          <w:tcPr>
            <w:tcW w:w="37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32</w:t>
            </w:r>
          </w:p>
        </w:tc>
        <w:tc>
          <w:tcPr>
            <w:tcW w:w="56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425"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599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bCs/>
                <w:color w:val="000000"/>
                <w:sz w:val="24"/>
              </w:rPr>
              <w:t>华城国际（混合产权，建成于2005年，计划改造北楼大堂墙面吊顶和附属楼西面外墙）</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366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区房管局，</w:t>
            </w:r>
            <w:r>
              <w:rPr>
                <w:rFonts w:hint="eastAsia" w:ascii="仿宋_GB2312" w:hAnsi="仿宋_GB2312" w:cs="仿宋_GB2312"/>
                <w:bCs/>
                <w:color w:val="000000"/>
                <w:sz w:val="24"/>
              </w:rPr>
              <w:t>鼓东街道</w:t>
            </w:r>
          </w:p>
        </w:tc>
        <w:tc>
          <w:tcPr>
            <w:tcW w:w="832"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bl>
    <w:p>
      <w:pPr>
        <w:pStyle w:val="2"/>
        <w:spacing w:line="480" w:lineRule="exact"/>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W w:w="0" w:type="auto"/>
        <w:jc w:val="center"/>
        <w:tblLayout w:type="fixed"/>
        <w:tblCellMar>
          <w:top w:w="0" w:type="dxa"/>
          <w:left w:w="15" w:type="dxa"/>
          <w:bottom w:w="0" w:type="dxa"/>
          <w:right w:w="15" w:type="dxa"/>
        </w:tblCellMar>
      </w:tblPr>
      <w:tblGrid>
        <w:gridCol w:w="346"/>
        <w:gridCol w:w="554"/>
        <w:gridCol w:w="1321"/>
        <w:gridCol w:w="5580"/>
        <w:gridCol w:w="1800"/>
        <w:gridCol w:w="4245"/>
        <w:gridCol w:w="869"/>
      </w:tblGrid>
      <w:tr>
        <w:tblPrEx>
          <w:tblCellMar>
            <w:top w:w="0" w:type="dxa"/>
            <w:left w:w="15" w:type="dxa"/>
            <w:bottom w:w="0" w:type="dxa"/>
            <w:right w:w="15" w:type="dxa"/>
          </w:tblCellMar>
        </w:tblPrEx>
        <w:trPr>
          <w:trHeight w:val="818"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序号</w:t>
            </w:r>
          </w:p>
        </w:tc>
        <w:tc>
          <w:tcPr>
            <w:tcW w:w="55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项目名称</w:t>
            </w:r>
          </w:p>
        </w:tc>
        <w:tc>
          <w:tcPr>
            <w:tcW w:w="132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主要内容</w:t>
            </w: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主要项目</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牵头单位</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配合单位</w:t>
            </w:r>
          </w:p>
        </w:tc>
        <w:tc>
          <w:tcPr>
            <w:tcW w:w="86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1362"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33</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textAlignment w:val="center"/>
              <w:rPr>
                <w:rFonts w:ascii="黑体" w:hAnsi="黑体" w:eastAsia="黑体" w:cs="黑体"/>
                <w:bCs/>
                <w:color w:val="000000"/>
                <w:sz w:val="24"/>
              </w:rPr>
            </w:pPr>
            <w:r>
              <w:rPr>
                <w:rFonts w:hint="eastAsia" w:ascii="仿宋_GB2312" w:hAnsi="仿宋_GB2312" w:cs="仿宋_GB2312"/>
                <w:color w:val="000000"/>
                <w:sz w:val="24"/>
              </w:rPr>
              <w:t>改造提升一批老旧楼宇，推动存量治理多元化。</w:t>
            </w: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color w:val="000000"/>
                <w:sz w:val="24"/>
              </w:rPr>
              <w:t>参考拆除重建、招商重生、专业整合、政府支持等模式，充分发动社会参与，集中力量分类开展存量楼宇治理工作，推动改造提速升级。</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ascii="仿宋_GB2312" w:hAnsi="仿宋_GB2312" w:cs="仿宋_GB2312"/>
                <w:bCs/>
                <w:color w:val="000000"/>
                <w:sz w:val="24"/>
              </w:rPr>
              <w:t>十</w:t>
            </w:r>
            <w:r>
              <w:rPr>
                <w:rFonts w:ascii="仿宋_GB2312" w:hAnsi="仿宋_GB2312" w:cs="仿宋_GB2312"/>
                <w:color w:val="000000"/>
                <w:sz w:val="24"/>
              </w:rPr>
              <w:t>街镇</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区建投中心（旧改办）、区商务局、</w:t>
            </w:r>
            <w:r>
              <w:rPr>
                <w:rFonts w:ascii="仿宋_GB2312" w:hAnsi="仿宋_GB2312" w:cs="仿宋_GB2312"/>
                <w:color w:val="000000"/>
                <w:sz w:val="24"/>
              </w:rPr>
              <w:t>区房管局、区建设局、</w:t>
            </w: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、区金融办</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杨  辉</w:t>
            </w:r>
          </w:p>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黄瑞忠</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bCs/>
                <w:color w:val="000000"/>
                <w:sz w:val="24"/>
              </w:rPr>
              <w:t>王茂盛</w:t>
            </w:r>
          </w:p>
        </w:tc>
      </w:tr>
      <w:tr>
        <w:tblPrEx>
          <w:tblCellMar>
            <w:top w:w="0" w:type="dxa"/>
            <w:left w:w="15" w:type="dxa"/>
            <w:bottom w:w="0" w:type="dxa"/>
            <w:right w:w="15" w:type="dxa"/>
          </w:tblCellMar>
        </w:tblPrEx>
        <w:trPr>
          <w:trHeight w:val="1035"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34</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color w:val="000000"/>
                <w:sz w:val="24"/>
              </w:rPr>
              <w:t>对于暂无法全面改造提升的楼宇，综合利用各类配套政策措施，扶持与监管并举，打好“安全补丁”。</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区建投中心</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（旧改办）</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区发改局、区房管局、区建设局、区市场监管局、区消防救援大队，十街镇</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bCs/>
                <w:color w:val="000000"/>
                <w:sz w:val="24"/>
              </w:rPr>
              <w:t>王茂盛</w:t>
            </w:r>
          </w:p>
        </w:tc>
      </w:tr>
      <w:tr>
        <w:tblPrEx>
          <w:tblCellMar>
            <w:top w:w="0" w:type="dxa"/>
            <w:left w:w="15" w:type="dxa"/>
            <w:bottom w:w="0" w:type="dxa"/>
            <w:right w:w="15" w:type="dxa"/>
          </w:tblCellMar>
        </w:tblPrEx>
        <w:trPr>
          <w:trHeight w:val="977"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35</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restart"/>
            <w:tcBorders>
              <w:top w:val="single" w:color="auto" w:sz="4" w:space="0"/>
              <w:left w:val="single" w:color="auto" w:sz="4" w:space="0"/>
              <w:right w:val="single" w:color="auto" w:sz="4" w:space="0"/>
            </w:tcBorders>
            <w:vAlign w:val="center"/>
          </w:tcPr>
          <w:p>
            <w:pPr>
              <w:autoSpaceDN w:val="0"/>
              <w:spacing w:line="400" w:lineRule="exact"/>
              <w:textAlignment w:val="center"/>
              <w:rPr>
                <w:rFonts w:ascii="仿宋_GB2312" w:hAnsi="仿宋_GB2312" w:cs="仿宋_GB2312"/>
                <w:color w:val="000000"/>
                <w:sz w:val="24"/>
              </w:rPr>
            </w:pPr>
            <w:r>
              <w:rPr>
                <w:rFonts w:hint="eastAsia" w:ascii="仿宋_GB2312" w:hAnsi="仿宋_GB2312" w:cs="仿宋_GB2312"/>
                <w:color w:val="000000"/>
                <w:sz w:val="24"/>
              </w:rPr>
              <w:t>统筹推动安全管理，切实解决一批楼宇存在的难题。</w:t>
            </w: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新都会花园广场（推进解决楼宇产权证等问题）</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水部街道</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textAlignment w:val="center"/>
              <w:rPr>
                <w:rFonts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、区房管局区、消防救援大队、区应急管理局、区建设局</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王茂盛</w:t>
            </w:r>
          </w:p>
        </w:tc>
      </w:tr>
      <w:tr>
        <w:tblPrEx>
          <w:tblCellMar>
            <w:top w:w="0" w:type="dxa"/>
            <w:left w:w="15" w:type="dxa"/>
            <w:bottom w:w="0" w:type="dxa"/>
            <w:right w:w="15" w:type="dxa"/>
          </w:tblCellMar>
        </w:tblPrEx>
        <w:trPr>
          <w:trHeight w:val="1060"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36</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新华兴联合广场（推进解决消安整改和产权证问题）</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鼓东街道</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textAlignment w:val="center"/>
              <w:rPr>
                <w:rFonts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、区房管局、区消防救援大队、区应急管理局、区建设局</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920"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37</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bCs/>
                <w:color w:val="000000"/>
                <w:sz w:val="24"/>
              </w:rPr>
              <w:t>原味中味大楼（推进烂尾楼拆除重建等问题）</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东街街道</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r>
              <w:rPr>
                <w:rFonts w:hint="eastAsia" w:ascii="仿宋_GB2312" w:hAnsi="仿宋_GB2312" w:cs="仿宋_GB2312"/>
                <w:color w:val="000000"/>
                <w:sz w:val="24"/>
              </w:rPr>
              <w:t>、城管局、建设局、旧改办、鼓楼交警大队</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highlight w:val="yellow"/>
              </w:rPr>
            </w:pPr>
            <w:r>
              <w:rPr>
                <w:rFonts w:hint="eastAsia" w:ascii="仿宋_GB2312" w:hAnsi="仿宋_GB2312" w:cs="仿宋_GB2312"/>
                <w:color w:val="000000"/>
                <w:sz w:val="24"/>
              </w:rPr>
              <w:t>陈晓彬</w:t>
            </w:r>
          </w:p>
        </w:tc>
      </w:tr>
      <w:tr>
        <w:tblPrEx>
          <w:tblCellMar>
            <w:top w:w="0" w:type="dxa"/>
            <w:left w:w="15" w:type="dxa"/>
            <w:bottom w:w="0" w:type="dxa"/>
            <w:right w:w="15" w:type="dxa"/>
          </w:tblCellMar>
        </w:tblPrEx>
        <w:trPr>
          <w:trHeight w:val="1780" w:hRule="atLeast"/>
          <w:jc w:val="center"/>
        </w:trPr>
        <w:tc>
          <w:tcPr>
            <w:tcW w:w="34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38</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321"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558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开展消防、电梯、应急管理等安全隐患排查和监督检查行动，适时引入第三方开展安全性能评估等工作，引导业主积极参与老旧楼宇改造。</w:t>
            </w:r>
          </w:p>
        </w:tc>
        <w:tc>
          <w:tcPr>
            <w:tcW w:w="18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区消防救援大队</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tc>
        <w:tc>
          <w:tcPr>
            <w:tcW w:w="424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区应急管理局，十街镇</w:t>
            </w:r>
          </w:p>
        </w:tc>
        <w:tc>
          <w:tcPr>
            <w:tcW w:w="869"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bl>
    <w:p>
      <w:pPr>
        <w:pStyle w:val="2"/>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pPr w:leftFromText="180" w:rightFromText="180" w:vertAnchor="text" w:horzAnchor="page" w:tblpXSpec="center" w:tblpY="-67"/>
        <w:tblOverlap w:val="never"/>
        <w:tblW w:w="0" w:type="auto"/>
        <w:jc w:val="center"/>
        <w:tblLayout w:type="fixed"/>
        <w:tblCellMar>
          <w:top w:w="0" w:type="dxa"/>
          <w:left w:w="15" w:type="dxa"/>
          <w:bottom w:w="0" w:type="dxa"/>
          <w:right w:w="15" w:type="dxa"/>
        </w:tblCellMar>
      </w:tblPr>
      <w:tblGrid>
        <w:gridCol w:w="441"/>
        <w:gridCol w:w="567"/>
        <w:gridCol w:w="1559"/>
        <w:gridCol w:w="6308"/>
        <w:gridCol w:w="2190"/>
        <w:gridCol w:w="2595"/>
        <w:gridCol w:w="960"/>
      </w:tblGrid>
      <w:tr>
        <w:tblPrEx>
          <w:tblCellMar>
            <w:top w:w="0" w:type="dxa"/>
            <w:left w:w="15" w:type="dxa"/>
            <w:bottom w:w="0" w:type="dxa"/>
            <w:right w:w="15" w:type="dxa"/>
          </w:tblCellMar>
        </w:tblPrEx>
        <w:trPr>
          <w:trHeight w:val="87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项目名称</w:t>
            </w:r>
          </w:p>
        </w:tc>
        <w:tc>
          <w:tcPr>
            <w:tcW w:w="15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219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59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9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1234"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39</w:t>
            </w:r>
          </w:p>
        </w:tc>
        <w:tc>
          <w:tcPr>
            <w:tcW w:w="567"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仿宋_GB2312" w:hAnsi="仿宋_GB2312" w:cs="仿宋_GB2312"/>
                <w:color w:val="000000"/>
                <w:sz w:val="24"/>
              </w:rPr>
              <w:t>提升政府引导力</w:t>
            </w:r>
          </w:p>
        </w:tc>
        <w:tc>
          <w:tcPr>
            <w:tcW w:w="15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r>
              <w:rPr>
                <w:rFonts w:hint="eastAsia" w:ascii="仿宋_GB2312" w:hAnsi="仿宋_GB2312" w:cs="仿宋_GB2312"/>
                <w:bCs/>
                <w:color w:val="000000"/>
                <w:sz w:val="24"/>
              </w:rPr>
              <w:t>纾解中央商务区停车难题</w:t>
            </w:r>
          </w:p>
        </w:tc>
        <w:tc>
          <w:tcPr>
            <w:tcW w:w="630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color w:val="000000"/>
                <w:sz w:val="24"/>
              </w:rPr>
            </w:pPr>
            <w:r>
              <w:rPr>
                <w:rFonts w:hint="eastAsia" w:ascii="仿宋_GB2312" w:hAnsi="仿宋_GB2312" w:cs="仿宋_GB2312"/>
                <w:color w:val="000000"/>
                <w:sz w:val="24"/>
              </w:rPr>
              <w:t>引入第三方公司，充分整合盘活区属单位自持、楼宇和商圈经营性停车位资源，为全区智慧停车项目增加车位总量储备</w:t>
            </w:r>
          </w:p>
        </w:tc>
        <w:tc>
          <w:tcPr>
            <w:tcW w:w="219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区城投公司</w:t>
            </w:r>
          </w:p>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cs="仿宋_GB2312"/>
                <w:color w:val="000000"/>
                <w:sz w:val="24"/>
              </w:rPr>
              <w:t>区</w:t>
            </w:r>
            <w:r>
              <w:rPr>
                <w:rFonts w:hint="eastAsia" w:ascii="仿宋_GB2312" w:hAnsi="仿宋_GB2312" w:cs="仿宋_GB2312"/>
                <w:color w:val="000000"/>
                <w:sz w:val="24"/>
                <w:lang w:eastAsia="zh-CN"/>
              </w:rPr>
              <w:t>自然资源和规划局</w:t>
            </w:r>
          </w:p>
        </w:tc>
        <w:tc>
          <w:tcPr>
            <w:tcW w:w="259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区国投公司、区房管局，十街镇</w:t>
            </w:r>
          </w:p>
        </w:tc>
        <w:tc>
          <w:tcPr>
            <w:tcW w:w="96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930"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40</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restart"/>
            <w:tcBorders>
              <w:top w:val="single" w:color="auto" w:sz="4" w:space="0"/>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r>
              <w:rPr>
                <w:rFonts w:hint="eastAsia" w:ascii="仿宋_GB2312" w:hAnsi="仿宋_GB2312" w:cs="仿宋_GB2312"/>
                <w:bCs/>
                <w:color w:val="000000"/>
                <w:sz w:val="24"/>
              </w:rPr>
              <w:t>招大引强，推动楼宇招商和优质企业税源回归。</w:t>
            </w: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结合楼宇产业特色，坚持招大引强，带动高端产业要素进一步集聚，提高楼宇整体效益。</w:t>
            </w:r>
          </w:p>
        </w:tc>
        <w:tc>
          <w:tcPr>
            <w:tcW w:w="219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区招商办</w:t>
            </w:r>
          </w:p>
        </w:tc>
        <w:tc>
          <w:tcPr>
            <w:tcW w:w="2595"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区招商工作领导小组</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成员单位</w:t>
            </w:r>
          </w:p>
        </w:tc>
        <w:tc>
          <w:tcPr>
            <w:tcW w:w="96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晁  旭</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黄瑞忠</w:t>
            </w:r>
          </w:p>
        </w:tc>
      </w:tr>
      <w:tr>
        <w:tblPrEx>
          <w:tblCellMar>
            <w:top w:w="0" w:type="dxa"/>
            <w:left w:w="15" w:type="dxa"/>
            <w:bottom w:w="0" w:type="dxa"/>
            <w:right w:w="15" w:type="dxa"/>
          </w:tblCellMar>
        </w:tblPrEx>
        <w:trPr>
          <w:trHeight w:val="106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41</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重点做好华润万象城、福建邮政广场等新建楼宇招商工作，继续切实抓好福建外贸大厦招大引强工作。</w:t>
            </w:r>
          </w:p>
        </w:tc>
        <w:tc>
          <w:tcPr>
            <w:tcW w:w="219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2595"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c>
          <w:tcPr>
            <w:tcW w:w="96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p>
        </w:tc>
      </w:tr>
      <w:tr>
        <w:tblPrEx>
          <w:tblCellMar>
            <w:top w:w="0" w:type="dxa"/>
            <w:left w:w="15" w:type="dxa"/>
            <w:bottom w:w="0" w:type="dxa"/>
            <w:right w:w="15" w:type="dxa"/>
          </w:tblCellMar>
        </w:tblPrEx>
        <w:trPr>
          <w:trHeight w:val="111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42</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bCs/>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引导和督促相结合，充分发挥各职能部门作用，切实推动回归一批优质企业。</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区财政局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区市场监管局、区税务局、区行政服务中心，</w:t>
            </w:r>
          </w:p>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tc>
      </w:tr>
      <w:tr>
        <w:tblPrEx>
          <w:tblCellMar>
            <w:top w:w="0" w:type="dxa"/>
            <w:left w:w="15" w:type="dxa"/>
            <w:bottom w:w="0" w:type="dxa"/>
            <w:right w:w="15" w:type="dxa"/>
          </w:tblCellMar>
        </w:tblPrEx>
        <w:trPr>
          <w:trHeight w:val="83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43</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restart"/>
            <w:tcBorders>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提升标准化对新时代楼宇经济工作的指导作用</w:t>
            </w: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宣贯落实《商务楼宇星级评定》标准规范，挂牌一批星级楼宇。</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947"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44</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组织物管企业分批现场学习交流，发挥“星级楼宇”和“十大标杆楼宇”示范带动作用。</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1099"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45</w:t>
            </w:r>
          </w:p>
        </w:tc>
        <w:tc>
          <w:tcPr>
            <w:tcW w:w="56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1559" w:type="dxa"/>
            <w:vMerge w:val="continue"/>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p>
        </w:tc>
        <w:tc>
          <w:tcPr>
            <w:tcW w:w="630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color w:val="000000"/>
                <w:sz w:val="24"/>
              </w:rPr>
            </w:pPr>
            <w:r>
              <w:rPr>
                <w:rFonts w:hint="eastAsia" w:ascii="仿宋_GB2312" w:hAnsi="仿宋_GB2312" w:cs="仿宋_GB2312"/>
                <w:color w:val="000000"/>
                <w:sz w:val="24"/>
              </w:rPr>
              <w:t>全方位、多角度、多题材宣传星级楼宇特色亮点，举办“星级楼宇媒体开放日”等活动。</w:t>
            </w:r>
          </w:p>
        </w:tc>
        <w:tc>
          <w:tcPr>
            <w:tcW w:w="219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区委宣传部</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595" w:type="dxa"/>
            <w:tcBorders>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区房管局，十街镇</w:t>
            </w:r>
          </w:p>
        </w:tc>
        <w:tc>
          <w:tcPr>
            <w:tcW w:w="96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杨朝晖</w:t>
            </w:r>
          </w:p>
        </w:tc>
      </w:tr>
    </w:tbl>
    <w:tbl>
      <w:tblPr>
        <w:tblStyle w:val="11"/>
        <w:tblW w:w="0" w:type="auto"/>
        <w:jc w:val="center"/>
        <w:tblLayout w:type="fixed"/>
        <w:tblCellMar>
          <w:top w:w="0" w:type="dxa"/>
          <w:left w:w="15" w:type="dxa"/>
          <w:bottom w:w="0" w:type="dxa"/>
          <w:right w:w="15" w:type="dxa"/>
        </w:tblCellMar>
      </w:tblPr>
      <w:tblGrid>
        <w:gridCol w:w="316"/>
        <w:gridCol w:w="571"/>
        <w:gridCol w:w="1658"/>
        <w:gridCol w:w="6832"/>
        <w:gridCol w:w="1733"/>
        <w:gridCol w:w="2550"/>
        <w:gridCol w:w="975"/>
      </w:tblGrid>
      <w:tr>
        <w:tblPrEx>
          <w:tblCellMar>
            <w:top w:w="0" w:type="dxa"/>
            <w:left w:w="15" w:type="dxa"/>
            <w:bottom w:w="0" w:type="dxa"/>
            <w:right w:w="15" w:type="dxa"/>
          </w:tblCellMar>
        </w:tblPrEx>
        <w:trPr>
          <w:trHeight w:val="788"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7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r>
              <w:rPr>
                <w:rFonts w:hint="eastAsia" w:ascii="黑体" w:hAnsi="黑体" w:eastAsia="黑体" w:cs="黑体"/>
                <w:bCs/>
                <w:color w:val="000000"/>
                <w:sz w:val="24"/>
              </w:rPr>
              <w:t>项目名称</w:t>
            </w:r>
          </w:p>
        </w:tc>
        <w:tc>
          <w:tcPr>
            <w:tcW w:w="165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55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955"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46</w:t>
            </w:r>
          </w:p>
        </w:tc>
        <w:tc>
          <w:tcPr>
            <w:tcW w:w="571"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提升政府引导力</w:t>
            </w: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深化数据信息对经济工作的指导作用</w:t>
            </w:r>
          </w:p>
        </w:tc>
        <w:tc>
          <w:tcPr>
            <w:tcW w:w="683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黑体" w:hAnsi="黑体" w:eastAsia="黑体" w:cs="黑体"/>
                <w:bCs/>
                <w:color w:val="000000"/>
                <w:sz w:val="24"/>
              </w:rPr>
            </w:pPr>
            <w:r>
              <w:rPr>
                <w:rFonts w:hint="eastAsia" w:ascii="仿宋_GB2312" w:hAnsi="仿宋_GB2312" w:cs="仿宋_GB2312"/>
                <w:color w:val="000000"/>
                <w:sz w:val="24"/>
              </w:rPr>
              <w:t>持续深化楼宇数据信息对经济工作的指导作用，扩大平台影响力和实效，探索推动平台与各类市场化主体协同发展。</w:t>
            </w:r>
          </w:p>
        </w:tc>
        <w:tc>
          <w:tcPr>
            <w:tcW w:w="1733" w:type="dxa"/>
            <w:vMerge w:val="restart"/>
            <w:tcBorders>
              <w:top w:val="single" w:color="auto" w:sz="4" w:space="0"/>
              <w:left w:val="single" w:color="auto" w:sz="4" w:space="0"/>
              <w:right w:val="single" w:color="auto" w:sz="4" w:space="0"/>
            </w:tcBorders>
            <w:vAlign w:val="center"/>
          </w:tcPr>
          <w:p>
            <w:pPr>
              <w:pStyle w:val="2"/>
              <w:spacing w:after="0" w:line="400" w:lineRule="exact"/>
              <w:jc w:val="center"/>
              <w:rPr>
                <w:rFonts w:ascii="黑体" w:hAnsi="黑体" w:eastAsia="黑体" w:cs="黑体"/>
                <w:bCs/>
                <w:color w:val="000000"/>
                <w:sz w:val="24"/>
              </w:rPr>
            </w:pPr>
            <w:r>
              <w:rPr>
                <w:rFonts w:hint="eastAsia" w:ascii="仿宋_GB2312" w:hAnsi="仿宋_GB2312" w:cs="仿宋_GB2312"/>
                <w:bCs/>
                <w:color w:val="000000"/>
                <w:sz w:val="24"/>
              </w:rPr>
              <w:t>十街镇</w:t>
            </w:r>
          </w:p>
        </w:tc>
        <w:tc>
          <w:tcPr>
            <w:tcW w:w="2550"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区发改局、</w:t>
            </w:r>
            <w:r>
              <w:rPr>
                <w:rFonts w:hint="eastAsia" w:ascii="仿宋_GB2312" w:hAnsi="仿宋_GB2312" w:cs="仿宋_GB2312"/>
                <w:color w:val="000000"/>
                <w:sz w:val="24"/>
              </w:rPr>
              <w:t>区数字办</w:t>
            </w:r>
          </w:p>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区市场监管局、</w:t>
            </w:r>
          </w:p>
          <w:p>
            <w:pPr>
              <w:pStyle w:val="2"/>
              <w:spacing w:after="0" w:line="400" w:lineRule="exact"/>
              <w:jc w:val="center"/>
              <w:rPr>
                <w:rFonts w:ascii="黑体" w:hAnsi="黑体" w:eastAsia="黑体" w:cs="黑体"/>
                <w:bCs/>
                <w:color w:val="000000"/>
                <w:sz w:val="24"/>
              </w:rPr>
            </w:pPr>
            <w:r>
              <w:rPr>
                <w:rFonts w:hint="eastAsia" w:ascii="仿宋_GB2312" w:hAnsi="仿宋_GB2312" w:cs="仿宋_GB2312"/>
                <w:bCs/>
                <w:color w:val="000000"/>
                <w:sz w:val="24"/>
              </w:rPr>
              <w:t>区税务局、区统计局、区财政局、区商务局</w:t>
            </w:r>
          </w:p>
        </w:tc>
        <w:tc>
          <w:tcPr>
            <w:tcW w:w="975"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张玉佩</w:t>
            </w:r>
          </w:p>
        </w:tc>
      </w:tr>
      <w:tr>
        <w:tblPrEx>
          <w:tblCellMar>
            <w:top w:w="0" w:type="dxa"/>
            <w:left w:w="15" w:type="dxa"/>
            <w:bottom w:w="0" w:type="dxa"/>
            <w:right w:w="15" w:type="dxa"/>
          </w:tblCellMar>
        </w:tblPrEx>
        <w:trPr>
          <w:trHeight w:val="1059"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47</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结合日常数据归集工作，夯实楼宇注册户数、产业布局等经济底数。</w:t>
            </w:r>
          </w:p>
        </w:tc>
        <w:tc>
          <w:tcPr>
            <w:tcW w:w="1733"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255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975"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r>
      <w:tr>
        <w:tblPrEx>
          <w:tblCellMar>
            <w:top w:w="0" w:type="dxa"/>
            <w:left w:w="15" w:type="dxa"/>
            <w:bottom w:w="0" w:type="dxa"/>
            <w:right w:w="15" w:type="dxa"/>
          </w:tblCellMar>
        </w:tblPrEx>
        <w:trPr>
          <w:trHeight w:val="1051"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48</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黑体" w:hAnsi="黑体" w:eastAsia="黑体" w:cs="黑体"/>
                <w:bCs/>
                <w:color w:val="000000"/>
                <w:sz w:val="24"/>
              </w:rPr>
            </w:pPr>
            <w:r>
              <w:rPr>
                <w:rFonts w:hint="eastAsia" w:ascii="仿宋_GB2312" w:hAnsi="仿宋_GB2312" w:cs="仿宋_GB2312"/>
                <w:color w:val="000000"/>
                <w:sz w:val="24"/>
              </w:rPr>
              <w:t>在政策推动上，坚持落实落细，守住安全底线。</w:t>
            </w: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大力宣传推广“楼宇八条政策”中市场化差异化改造提升楼宇的有关条款，引导市场主体解放思想，灵活多样地开展楼宇整体改造和运营。</w:t>
            </w:r>
          </w:p>
        </w:tc>
        <w:tc>
          <w:tcPr>
            <w:tcW w:w="1733" w:type="dxa"/>
            <w:tcBorders>
              <w:left w:val="single" w:color="auto" w:sz="4" w:space="0"/>
              <w:bottom w:val="single" w:color="auto" w:sz="4" w:space="0"/>
              <w:right w:val="single" w:color="auto" w:sz="4" w:space="0"/>
            </w:tcBorders>
            <w:vAlign w:val="center"/>
          </w:tcPr>
          <w:p>
            <w:pPr>
              <w:pStyle w:val="2"/>
              <w:spacing w:after="0" w:line="400" w:lineRule="exact"/>
              <w:jc w:val="center"/>
              <w:rPr>
                <w:rFonts w:ascii="仿宋_GB2312" w:hAnsi="仿宋_GB2312" w:cs="仿宋_GB2312"/>
                <w:bCs/>
                <w:color w:val="000000"/>
                <w:sz w:val="24"/>
              </w:rPr>
            </w:pPr>
            <w:r>
              <w:rPr>
                <w:rFonts w:hint="eastAsia" w:ascii="仿宋_GB2312" w:hAnsi="仿宋_GB2312" w:cs="仿宋_GB2312"/>
                <w:bCs/>
                <w:color w:val="000000"/>
                <w:sz w:val="24"/>
              </w:rPr>
              <w:t>区发改局</w:t>
            </w:r>
          </w:p>
          <w:p>
            <w:pPr>
              <w:pStyle w:val="2"/>
              <w:spacing w:after="0" w:line="400" w:lineRule="exact"/>
              <w:jc w:val="center"/>
              <w:rPr>
                <w:rFonts w:ascii="黑体" w:hAnsi="黑体" w:eastAsia="黑体" w:cs="黑体"/>
                <w:bCs/>
                <w:color w:val="000000"/>
                <w:sz w:val="24"/>
              </w:rPr>
            </w:pPr>
            <w:r>
              <w:rPr>
                <w:rFonts w:hint="eastAsia" w:ascii="仿宋_GB2312" w:hAnsi="仿宋_GB2312" w:cs="仿宋_GB2312"/>
                <w:bCs/>
                <w:color w:val="000000"/>
                <w:sz w:val="24"/>
              </w:rPr>
              <w:t>十街镇</w:t>
            </w:r>
          </w:p>
        </w:tc>
        <w:tc>
          <w:tcPr>
            <w:tcW w:w="2550" w:type="dxa"/>
            <w:vMerge w:val="restart"/>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区房管局</w:t>
            </w:r>
          </w:p>
        </w:tc>
        <w:tc>
          <w:tcPr>
            <w:tcW w:w="97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杨  辉</w:t>
            </w:r>
          </w:p>
        </w:tc>
      </w:tr>
      <w:tr>
        <w:tblPrEx>
          <w:tblCellMar>
            <w:top w:w="0" w:type="dxa"/>
            <w:left w:w="15" w:type="dxa"/>
            <w:bottom w:w="0" w:type="dxa"/>
            <w:right w:w="15" w:type="dxa"/>
          </w:tblCellMar>
        </w:tblPrEx>
        <w:trPr>
          <w:trHeight w:val="1041"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49</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继续落实《鼓楼区关于加强电梯质量安全工作的实施意见》，持续开展客梯修复改造更新等工作。</w:t>
            </w:r>
          </w:p>
        </w:tc>
        <w:tc>
          <w:tcPr>
            <w:tcW w:w="1733"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区市场监管局</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十街镇</w:t>
            </w:r>
          </w:p>
        </w:tc>
        <w:tc>
          <w:tcPr>
            <w:tcW w:w="2550"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97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895"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50</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683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cs="仿宋_GB2312"/>
                <w:color w:val="000000"/>
                <w:sz w:val="24"/>
              </w:rPr>
            </w:pPr>
            <w:r>
              <w:rPr>
                <w:rFonts w:hint="eastAsia" w:ascii="仿宋_GB2312" w:hAnsi="仿宋_GB2312" w:cs="仿宋_GB2312"/>
                <w:color w:val="000000"/>
                <w:sz w:val="24"/>
              </w:rPr>
              <w:t>开展“政策进楼”活动，提升各级政策知晓率和利用率。</w:t>
            </w:r>
          </w:p>
        </w:tc>
        <w:tc>
          <w:tcPr>
            <w:tcW w:w="1733"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企业服务中心</w:t>
            </w:r>
          </w:p>
        </w:tc>
        <w:tc>
          <w:tcPr>
            <w:tcW w:w="2550"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区发改局，十街镇</w:t>
            </w:r>
          </w:p>
        </w:tc>
        <w:tc>
          <w:tcPr>
            <w:tcW w:w="975" w:type="dxa"/>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林  渊</w:t>
            </w:r>
          </w:p>
        </w:tc>
      </w:tr>
      <w:tr>
        <w:tblPrEx>
          <w:tblCellMar>
            <w:top w:w="0" w:type="dxa"/>
            <w:left w:w="15" w:type="dxa"/>
            <w:bottom w:w="0" w:type="dxa"/>
            <w:right w:w="15" w:type="dxa"/>
          </w:tblCellMar>
        </w:tblPrEx>
        <w:trPr>
          <w:trHeight w:val="1033"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51</w:t>
            </w:r>
          </w:p>
        </w:tc>
        <w:tc>
          <w:tcPr>
            <w:tcW w:w="571" w:type="dxa"/>
            <w:vMerge w:val="continue"/>
            <w:tcBorders>
              <w:left w:val="single" w:color="auto" w:sz="4" w:space="0"/>
              <w:right w:val="single" w:color="auto" w:sz="4" w:space="0"/>
            </w:tcBorders>
            <w:vAlign w:val="center"/>
          </w:tcPr>
          <w:p>
            <w:pPr>
              <w:autoSpaceDN w:val="0"/>
              <w:spacing w:line="400" w:lineRule="exact"/>
              <w:jc w:val="center"/>
              <w:textAlignment w:val="center"/>
              <w:rPr>
                <w:color w:val="000000"/>
              </w:rPr>
            </w:pPr>
          </w:p>
        </w:tc>
        <w:tc>
          <w:tcPr>
            <w:tcW w:w="1658"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color w:val="000000"/>
              </w:rPr>
            </w:pPr>
            <w:r>
              <w:rPr>
                <w:rFonts w:hint="eastAsia" w:ascii="仿宋_GB2312" w:hAnsi="仿宋_GB2312" w:cs="仿宋_GB2312"/>
                <w:color w:val="000000"/>
                <w:sz w:val="24"/>
              </w:rPr>
              <w:t>推动楼宇绿色发展</w:t>
            </w:r>
          </w:p>
        </w:tc>
        <w:tc>
          <w:tcPr>
            <w:tcW w:w="683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培养商务楼宇节能减排意识，鼓励有条件的楼宇实行环保优化措施，提升能耗管理水平，进一步强化社会效应及经济效应。</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区工信局</w:t>
            </w:r>
          </w:p>
        </w:tc>
        <w:tc>
          <w:tcPr>
            <w:tcW w:w="255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tc>
      </w:tr>
      <w:tr>
        <w:tblPrEx>
          <w:tblCellMar>
            <w:top w:w="0" w:type="dxa"/>
            <w:left w:w="15" w:type="dxa"/>
            <w:bottom w:w="0" w:type="dxa"/>
            <w:right w:w="15" w:type="dxa"/>
          </w:tblCellMar>
        </w:tblPrEx>
        <w:trPr>
          <w:trHeight w:val="746" w:hRule="atLeast"/>
          <w:jc w:val="center"/>
        </w:trPr>
        <w:tc>
          <w:tcPr>
            <w:tcW w:w="316"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52</w:t>
            </w:r>
          </w:p>
        </w:tc>
        <w:tc>
          <w:tcPr>
            <w:tcW w:w="571"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1658"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color w:val="000000"/>
              </w:rPr>
            </w:pPr>
          </w:p>
        </w:tc>
        <w:tc>
          <w:tcPr>
            <w:tcW w:w="6832"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jc w:val="left"/>
              <w:rPr>
                <w:rFonts w:ascii="仿宋_GB2312" w:hAnsi="仿宋_GB2312" w:cs="仿宋_GB2312"/>
                <w:color w:val="000000"/>
                <w:sz w:val="24"/>
              </w:rPr>
            </w:pPr>
            <w:r>
              <w:rPr>
                <w:rFonts w:hint="eastAsia" w:ascii="仿宋_GB2312" w:hAnsi="仿宋_GB2312" w:cs="仿宋_GB2312"/>
                <w:color w:val="000000"/>
                <w:sz w:val="24"/>
              </w:rPr>
              <w:t>深化落实楼宇垃圾分类。</w:t>
            </w:r>
          </w:p>
        </w:tc>
        <w:tc>
          <w:tcPr>
            <w:tcW w:w="1733"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区城管局</w:t>
            </w:r>
          </w:p>
        </w:tc>
        <w:tc>
          <w:tcPr>
            <w:tcW w:w="255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75"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郑炳锋</w:t>
            </w:r>
          </w:p>
        </w:tc>
      </w:tr>
    </w:tbl>
    <w:p>
      <w:pPr>
        <w:pStyle w:val="2"/>
        <w:rPr>
          <w:color w:val="000000"/>
        </w:rPr>
        <w:sectPr>
          <w:pgSz w:w="16838" w:h="11906" w:orient="landscape"/>
          <w:pgMar w:top="1134" w:right="850" w:bottom="1134" w:left="850" w:header="851" w:footer="1049" w:gutter="0"/>
          <w:cols w:space="720" w:num="1"/>
          <w:docGrid w:type="linesAndChars" w:linePitch="602" w:charSpace="1843"/>
        </w:sectPr>
      </w:pPr>
    </w:p>
    <w:tbl>
      <w:tblPr>
        <w:tblStyle w:val="11"/>
        <w:tblW w:w="0" w:type="auto"/>
        <w:jc w:val="center"/>
        <w:tblLayout w:type="fixed"/>
        <w:tblCellMar>
          <w:top w:w="0" w:type="dxa"/>
          <w:left w:w="15" w:type="dxa"/>
          <w:bottom w:w="0" w:type="dxa"/>
          <w:right w:w="15" w:type="dxa"/>
        </w:tblCellMar>
      </w:tblPr>
      <w:tblGrid>
        <w:gridCol w:w="454"/>
        <w:gridCol w:w="567"/>
        <w:gridCol w:w="1614"/>
        <w:gridCol w:w="40"/>
        <w:gridCol w:w="6631"/>
        <w:gridCol w:w="78"/>
        <w:gridCol w:w="1418"/>
        <w:gridCol w:w="2740"/>
        <w:gridCol w:w="88"/>
        <w:gridCol w:w="857"/>
        <w:gridCol w:w="140"/>
      </w:tblGrid>
      <w:tr>
        <w:tblPrEx>
          <w:tblCellMar>
            <w:top w:w="0" w:type="dxa"/>
            <w:left w:w="15" w:type="dxa"/>
            <w:bottom w:w="0" w:type="dxa"/>
            <w:right w:w="15" w:type="dxa"/>
          </w:tblCellMar>
        </w:tblPrEx>
        <w:trPr>
          <w:trHeight w:val="70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黑体" w:hAnsi="黑体" w:eastAsia="黑体" w:cs="黑体"/>
                <w:bCs/>
                <w:color w:val="000000"/>
                <w:sz w:val="24"/>
              </w:rPr>
              <w:t>项目名称</w:t>
            </w:r>
          </w:p>
        </w:tc>
        <w:tc>
          <w:tcPr>
            <w:tcW w:w="161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黑体" w:hAnsi="黑体" w:eastAsia="黑体" w:cs="黑体"/>
                <w:bCs/>
                <w:color w:val="000000"/>
                <w:sz w:val="24"/>
              </w:rPr>
              <w:t>主要内容</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798"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53</w:t>
            </w:r>
          </w:p>
        </w:tc>
        <w:tc>
          <w:tcPr>
            <w:tcW w:w="567" w:type="dxa"/>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提升楼宇服务力</w:t>
            </w:r>
          </w:p>
        </w:tc>
        <w:tc>
          <w:tcPr>
            <w:tcW w:w="1614"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加强基层建设，强化党建服务力</w:t>
            </w:r>
          </w:p>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充分发挥城市基层党建专职工作者职能，委派一批楼宇“党代表”，开展党建活动，服务楼宇企业。</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区委组织部</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郑寅球</w:t>
            </w:r>
          </w:p>
        </w:tc>
      </w:tr>
      <w:tr>
        <w:tblPrEx>
          <w:tblCellMar>
            <w:top w:w="0" w:type="dxa"/>
            <w:left w:w="15" w:type="dxa"/>
            <w:bottom w:w="0" w:type="dxa"/>
            <w:right w:w="15" w:type="dxa"/>
          </w:tblCellMar>
        </w:tblPrEx>
        <w:trPr>
          <w:trHeight w:val="714"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54</w:t>
            </w:r>
          </w:p>
        </w:tc>
        <w:tc>
          <w:tcPr>
            <w:tcW w:w="567" w:type="dxa"/>
            <w:vMerge w:val="continue"/>
            <w:tcBorders>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p>
        </w:tc>
        <w:tc>
          <w:tcPr>
            <w:tcW w:w="1614" w:type="dxa"/>
            <w:vMerge w:val="continue"/>
            <w:tcBorders>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联合楼宇物业“红色楼管家”，探索建立党建联盟，覆盖形成“五四路楼宇党建示范带”。</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区委组织部</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郑寅球</w:t>
            </w:r>
          </w:p>
        </w:tc>
      </w:tr>
      <w:tr>
        <w:tblPrEx>
          <w:tblCellMar>
            <w:top w:w="0" w:type="dxa"/>
            <w:left w:w="15" w:type="dxa"/>
            <w:bottom w:w="0" w:type="dxa"/>
            <w:right w:w="15" w:type="dxa"/>
          </w:tblCellMar>
        </w:tblPrEx>
        <w:trPr>
          <w:trHeight w:val="1210"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color w:val="000000"/>
                <w:sz w:val="24"/>
              </w:rPr>
            </w:pPr>
            <w:r>
              <w:rPr>
                <w:rFonts w:hint="eastAsia" w:ascii="仿宋_GB2312" w:hAnsi="仿宋_GB2312" w:cs="仿宋_GB2312"/>
                <w:color w:val="000000"/>
                <w:sz w:val="24"/>
              </w:rPr>
              <w:t>55</w:t>
            </w:r>
          </w:p>
        </w:tc>
        <w:tc>
          <w:tcPr>
            <w:tcW w:w="567" w:type="dxa"/>
            <w:vMerge w:val="continue"/>
            <w:tcBorders>
              <w:left w:val="single" w:color="auto" w:sz="4" w:space="0"/>
              <w:right w:val="single" w:color="auto" w:sz="4" w:space="0"/>
            </w:tcBorders>
            <w:vAlign w:val="center"/>
          </w:tcPr>
          <w:p>
            <w:pPr>
              <w:tabs>
                <w:tab w:val="left" w:pos="281"/>
              </w:tabs>
              <w:autoSpaceDN w:val="0"/>
              <w:spacing w:line="360" w:lineRule="exact"/>
              <w:jc w:val="center"/>
              <w:textAlignment w:val="center"/>
              <w:rPr>
                <w:rFonts w:ascii="黑体" w:hAnsi="黑体" w:eastAsia="黑体" w:cs="黑体"/>
                <w:bCs/>
                <w:color w:val="000000"/>
                <w:sz w:val="24"/>
              </w:rPr>
            </w:pPr>
          </w:p>
        </w:tc>
        <w:tc>
          <w:tcPr>
            <w:tcW w:w="1614" w:type="dxa"/>
            <w:vMerge w:val="restart"/>
            <w:tcBorders>
              <w:top w:val="single" w:color="auto" w:sz="4" w:space="0"/>
              <w:left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加强体系改革，深化行政服务力</w:t>
            </w:r>
          </w:p>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textAlignment w:val="center"/>
              <w:rPr>
                <w:rFonts w:ascii="仿宋_GB2312" w:hAnsi="仿宋_GB2312" w:cs="仿宋_GB2312"/>
                <w:color w:val="000000"/>
                <w:sz w:val="24"/>
              </w:rPr>
            </w:pPr>
            <w:r>
              <w:rPr>
                <w:rFonts w:hint="eastAsia" w:ascii="仿宋_GB2312" w:hAnsi="仿宋_GB2312" w:cs="仿宋_GB2312"/>
                <w:color w:val="000000"/>
                <w:sz w:val="24"/>
              </w:rPr>
              <w:t>优化“一楼八员”服务体系。以“楼宇专员+物管人员”作为常驻落脚点，加强房管行业力量，调整税务、市场、公安为区域统筹，完善形成“2+N”的楼宇经纪服务团队。</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区房管局、区市场监管局、区税务局、区人才办、</w:t>
            </w:r>
          </w:p>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鼓楼公安分局，十街镇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36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黄瑞忠</w:t>
            </w:r>
          </w:p>
        </w:tc>
      </w:tr>
      <w:tr>
        <w:tblPrEx>
          <w:tblCellMar>
            <w:top w:w="0" w:type="dxa"/>
            <w:left w:w="15" w:type="dxa"/>
            <w:bottom w:w="0" w:type="dxa"/>
            <w:right w:w="15" w:type="dxa"/>
          </w:tblCellMar>
        </w:tblPrEx>
        <w:trPr>
          <w:trHeight w:val="989"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cs="仿宋_GB2312"/>
                <w:color w:val="000000"/>
                <w:sz w:val="24"/>
              </w:rPr>
            </w:pPr>
            <w:r>
              <w:rPr>
                <w:rFonts w:hint="eastAsia" w:ascii="仿宋_GB2312" w:hAnsi="仿宋_GB2312" w:cs="仿宋_GB2312"/>
                <w:color w:val="000000"/>
                <w:sz w:val="24"/>
              </w:rPr>
              <w:t>56</w:t>
            </w:r>
          </w:p>
        </w:tc>
        <w:tc>
          <w:tcPr>
            <w:tcW w:w="567" w:type="dxa"/>
            <w:vMerge w:val="continue"/>
            <w:tcBorders>
              <w:left w:val="single" w:color="auto" w:sz="4" w:space="0"/>
              <w:right w:val="single" w:color="auto" w:sz="4" w:space="0"/>
            </w:tcBorders>
            <w:vAlign w:val="center"/>
          </w:tcPr>
          <w:p>
            <w:pPr>
              <w:tabs>
                <w:tab w:val="left" w:pos="281"/>
              </w:tabs>
              <w:autoSpaceDN w:val="0"/>
              <w:spacing w:line="360" w:lineRule="exact"/>
              <w:jc w:val="center"/>
              <w:textAlignment w:val="center"/>
              <w:rPr>
                <w:rFonts w:ascii="黑体" w:hAnsi="黑体" w:eastAsia="黑体" w:cs="黑体"/>
                <w:bCs/>
                <w:color w:val="000000"/>
                <w:sz w:val="24"/>
              </w:rPr>
            </w:pPr>
          </w:p>
        </w:tc>
        <w:tc>
          <w:tcPr>
            <w:tcW w:w="1614" w:type="dxa"/>
            <w:vMerge w:val="continue"/>
            <w:tcBorders>
              <w:left w:val="single" w:color="auto" w:sz="4" w:space="0"/>
              <w:right w:val="single" w:color="auto" w:sz="4" w:space="0"/>
            </w:tcBorders>
            <w:vAlign w:val="center"/>
          </w:tcPr>
          <w:p>
            <w:pPr>
              <w:spacing w:line="360" w:lineRule="exact"/>
              <w:rPr>
                <w:rFonts w:ascii="仿宋_GB2312" w:hAnsi="仿宋_GB2312" w:cs="仿宋_GB2312"/>
                <w:color w:val="000000"/>
                <w:sz w:val="24"/>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cs="仿宋_GB2312"/>
                <w:color w:val="000000"/>
                <w:sz w:val="24"/>
              </w:rPr>
            </w:pPr>
            <w:r>
              <w:rPr>
                <w:rFonts w:hint="eastAsia" w:ascii="仿宋_GB2312" w:hAnsi="仿宋_GB2312" w:cs="仿宋_GB2312"/>
                <w:color w:val="000000"/>
                <w:sz w:val="24"/>
              </w:rPr>
              <w:t>提升专业服务能力。结合轮岗、集中培训、述职考核等多种方式，普遍提升楼宇专员综合实力。</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区楼宇经济工作领导小组</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成员单位</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tc>
      </w:tr>
      <w:tr>
        <w:tblPrEx>
          <w:tblCellMar>
            <w:top w:w="0" w:type="dxa"/>
            <w:left w:w="15" w:type="dxa"/>
            <w:bottom w:w="0" w:type="dxa"/>
            <w:right w:w="15" w:type="dxa"/>
          </w:tblCellMar>
        </w:tblPrEx>
        <w:trPr>
          <w:trHeight w:val="96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57</w:t>
            </w:r>
          </w:p>
        </w:tc>
        <w:tc>
          <w:tcPr>
            <w:tcW w:w="567" w:type="dxa"/>
            <w:vMerge w:val="continue"/>
            <w:tcBorders>
              <w:left w:val="single" w:color="auto" w:sz="4" w:space="0"/>
              <w:right w:val="single" w:color="auto" w:sz="4" w:space="0"/>
            </w:tcBorders>
            <w:vAlign w:val="center"/>
          </w:tcPr>
          <w:p>
            <w:pPr>
              <w:autoSpaceDN w:val="0"/>
              <w:spacing w:line="360" w:lineRule="exact"/>
              <w:textAlignment w:val="center"/>
              <w:rPr>
                <w:rFonts w:ascii="仿宋_GB2312" w:hAnsi="仿宋_GB2312" w:cs="仿宋_GB2312"/>
                <w:color w:val="000000"/>
                <w:sz w:val="24"/>
              </w:rPr>
            </w:pPr>
          </w:p>
        </w:tc>
        <w:tc>
          <w:tcPr>
            <w:tcW w:w="1614" w:type="dxa"/>
            <w:vMerge w:val="restart"/>
            <w:tcBorders>
              <w:top w:val="single" w:color="auto" w:sz="4" w:space="0"/>
              <w:left w:val="single" w:color="auto" w:sz="4" w:space="0"/>
              <w:bottom w:val="single" w:color="auto" w:sz="4" w:space="0"/>
              <w:right w:val="single" w:color="auto" w:sz="4" w:space="0"/>
            </w:tcBorders>
            <w:vAlign w:val="center"/>
          </w:tcPr>
          <w:p>
            <w:pPr>
              <w:pStyle w:val="2"/>
              <w:spacing w:after="0" w:line="360" w:lineRule="exact"/>
              <w:rPr>
                <w:rFonts w:ascii="仿宋_GB2312" w:hAnsi="仿宋_GB2312" w:cs="仿宋_GB2312"/>
                <w:color w:val="000000"/>
                <w:sz w:val="24"/>
              </w:rPr>
            </w:pPr>
            <w:r>
              <w:rPr>
                <w:rFonts w:hint="eastAsia" w:ascii="仿宋_GB2312" w:hAnsi="仿宋_GB2312" w:cs="仿宋_GB2312"/>
                <w:color w:val="000000"/>
                <w:sz w:val="24"/>
              </w:rPr>
              <w:t>加强行业引导，深化内生服务力</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加强物管人才建设。引进、培育一批具有专业素养的物管人才，加强职业道德教育和专业技术培训，提升楼宇整体商务功能和形象。</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区人社局，十街镇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林  渊</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165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58</w:t>
            </w:r>
          </w:p>
        </w:tc>
        <w:tc>
          <w:tcPr>
            <w:tcW w:w="567" w:type="dxa"/>
            <w:vMerge w:val="continue"/>
            <w:tcBorders>
              <w:left w:val="single" w:color="auto" w:sz="4" w:space="0"/>
              <w:right w:val="single" w:color="auto" w:sz="4" w:space="0"/>
            </w:tcBorders>
            <w:vAlign w:val="center"/>
          </w:tcPr>
          <w:p>
            <w:pPr>
              <w:autoSpaceDN w:val="0"/>
              <w:spacing w:line="360" w:lineRule="exact"/>
              <w:jc w:val="center"/>
              <w:textAlignment w:val="center"/>
              <w:rPr>
                <w:color w:val="00000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加强楼宇物业制度建设。促进物业体系文件规范化、档案化和电子化，指导楼宇建立严格的人员岗位责任制度和考核制度；推进楼宇公共部位经营收益、公共水电分摊、电梯维修保养年检费用等事项公示制度，强化物业收支管理。</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trHeight w:val="785"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59</w:t>
            </w:r>
          </w:p>
        </w:tc>
        <w:tc>
          <w:tcPr>
            <w:tcW w:w="567" w:type="dxa"/>
            <w:vMerge w:val="continue"/>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p>
        </w:tc>
        <w:tc>
          <w:tcPr>
            <w:tcW w:w="1614" w:type="dxa"/>
            <w:vMerge w:val="continue"/>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p>
        </w:tc>
        <w:tc>
          <w:tcPr>
            <w:tcW w:w="6749"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推进楼宇公共部位经营收益、公共水电分摊、电梯维修保养年检费用等事项公示制度，强化物业收支管理。</w:t>
            </w:r>
          </w:p>
        </w:tc>
        <w:tc>
          <w:tcPr>
            <w:tcW w:w="1418"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区房管局</w:t>
            </w:r>
          </w:p>
        </w:tc>
        <w:tc>
          <w:tcPr>
            <w:tcW w:w="2828"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997"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王茂盛</w:t>
            </w:r>
          </w:p>
        </w:tc>
      </w:tr>
      <w:tr>
        <w:tblPrEx>
          <w:tblCellMar>
            <w:top w:w="0" w:type="dxa"/>
            <w:left w:w="15" w:type="dxa"/>
            <w:bottom w:w="0" w:type="dxa"/>
            <w:right w:w="15" w:type="dxa"/>
          </w:tblCellMar>
        </w:tblPrEx>
        <w:trPr>
          <w:gridAfter w:val="1"/>
          <w:wAfter w:w="140" w:type="dxa"/>
          <w:trHeight w:val="98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项目名称</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主要项目</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配合单位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gridAfter w:val="1"/>
          <w:wAfter w:w="140" w:type="dxa"/>
          <w:trHeight w:val="1242"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60</w:t>
            </w:r>
          </w:p>
        </w:tc>
        <w:tc>
          <w:tcPr>
            <w:tcW w:w="567" w:type="dxa"/>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提升楼宇服务力</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加强行业引导，深化内生服务力</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引进国内外知名的商务楼宇物业管理公司，扶持、壮大本地优秀物业管理企业，同时加强与行业协会、咨询顾问、规划研究等专业机构合作，提升楼宇经济服务水平。</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区招商办</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区招商工作领导小组</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bCs/>
                <w:color w:val="000000"/>
                <w:sz w:val="24"/>
              </w:rPr>
              <w:t>成员单位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黄瑞忠</w:t>
            </w:r>
          </w:p>
        </w:tc>
      </w:tr>
      <w:tr>
        <w:tblPrEx>
          <w:tblCellMar>
            <w:top w:w="0" w:type="dxa"/>
            <w:left w:w="15" w:type="dxa"/>
            <w:bottom w:w="0" w:type="dxa"/>
            <w:right w:w="15" w:type="dxa"/>
          </w:tblCellMar>
        </w:tblPrEx>
        <w:trPr>
          <w:gridAfter w:val="1"/>
          <w:wAfter w:w="140" w:type="dxa"/>
          <w:trHeight w:val="1401"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61</w:t>
            </w:r>
          </w:p>
        </w:tc>
        <w:tc>
          <w:tcPr>
            <w:tcW w:w="567" w:type="dxa"/>
            <w:vMerge w:val="continue"/>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p>
        </w:tc>
        <w:tc>
          <w:tcPr>
            <w:tcW w:w="1654"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加强技术对接，深化智慧服务力</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推动楼宇软硬件服务向智慧化升级。推动楼宇在日常和应急场景中引入各类智能设备和指挥华管理体系。</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区数字办</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区发改局、区房管局，</w:t>
            </w:r>
          </w:p>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十街镇</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张玉佩</w:t>
            </w:r>
          </w:p>
        </w:tc>
      </w:tr>
      <w:tr>
        <w:tblPrEx>
          <w:tblCellMar>
            <w:top w:w="0" w:type="dxa"/>
            <w:left w:w="15" w:type="dxa"/>
            <w:bottom w:w="0" w:type="dxa"/>
            <w:right w:w="15" w:type="dxa"/>
          </w:tblCellMar>
        </w:tblPrEx>
        <w:trPr>
          <w:gridAfter w:val="1"/>
          <w:wAfter w:w="140" w:type="dxa"/>
          <w:trHeight w:val="2333"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62</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r>
              <w:rPr>
                <w:rFonts w:hint="eastAsia" w:ascii="仿宋_GB2312" w:hAnsi="仿宋_GB2312" w:cs="仿宋_GB2312"/>
                <w:color w:val="000000"/>
                <w:sz w:val="24"/>
              </w:rPr>
              <w:t>提升要素凝聚力</w:t>
            </w:r>
          </w:p>
        </w:tc>
        <w:tc>
          <w:tcPr>
            <w:tcW w:w="165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黑体" w:hAnsi="黑体" w:eastAsia="黑体" w:cs="黑体"/>
                <w:bCs/>
                <w:color w:val="000000"/>
                <w:sz w:val="24"/>
              </w:rPr>
            </w:pPr>
            <w:r>
              <w:rPr>
                <w:rFonts w:hint="eastAsia" w:ascii="仿宋_GB2312" w:hAnsi="仿宋_GB2312" w:cs="仿宋_GB2312"/>
                <w:color w:val="000000"/>
                <w:sz w:val="24"/>
              </w:rPr>
              <w:t>培养楼宇文化，提升载体活力</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整合社会各方资源开展楼宇“微文化”活动，打造一批有质感、有温度、有特色的楼宇公共文化成果；继续筹办楼宇文化节、CBD运动会等活动。</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color w:val="000000"/>
              </w:rPr>
            </w:pPr>
            <w:r>
              <w:rPr>
                <w:rFonts w:hint="eastAsia" w:ascii="仿宋_GB2312" w:hAnsi="仿宋_GB2312" w:cs="仿宋_GB2312"/>
                <w:color w:val="000000"/>
                <w:sz w:val="24"/>
              </w:rPr>
              <w:t>区文体旅局，</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十街镇</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小组成员单位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高  翔</w:t>
            </w:r>
          </w:p>
        </w:tc>
      </w:tr>
      <w:tr>
        <w:tblPrEx>
          <w:tblCellMar>
            <w:top w:w="0" w:type="dxa"/>
            <w:left w:w="15" w:type="dxa"/>
            <w:bottom w:w="0" w:type="dxa"/>
            <w:right w:w="15" w:type="dxa"/>
          </w:tblCellMar>
        </w:tblPrEx>
        <w:trPr>
          <w:gridAfter w:val="1"/>
          <w:wAfter w:w="140" w:type="dxa"/>
          <w:trHeight w:val="811"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63</w:t>
            </w:r>
          </w:p>
        </w:tc>
        <w:tc>
          <w:tcPr>
            <w:tcW w:w="567" w:type="dxa"/>
            <w:vMerge w:val="restart"/>
            <w:tcBorders>
              <w:top w:val="single" w:color="auto" w:sz="4" w:space="0"/>
              <w:left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提升要素凝聚力</w:t>
            </w:r>
          </w:p>
          <w:p>
            <w:pPr>
              <w:autoSpaceDN w:val="0"/>
              <w:spacing w:line="360" w:lineRule="exact"/>
              <w:textAlignment w:val="center"/>
              <w:rPr>
                <w:rFonts w:ascii="黑体" w:hAnsi="黑体" w:eastAsia="黑体" w:cs="黑体"/>
                <w:bCs/>
                <w:color w:val="000000"/>
                <w:sz w:val="24"/>
              </w:rPr>
            </w:pPr>
          </w:p>
        </w:tc>
        <w:tc>
          <w:tcPr>
            <w:tcW w:w="1654"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加大宣传造势</w:t>
            </w:r>
          </w:p>
        </w:tc>
        <w:tc>
          <w:tcPr>
            <w:tcW w:w="6631"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textAlignment w:val="center"/>
              <w:rPr>
                <w:rFonts w:ascii="仿宋_GB2312" w:hAnsi="仿宋_GB2312" w:cs="仿宋_GB2312"/>
                <w:color w:val="000000"/>
                <w:sz w:val="24"/>
              </w:rPr>
            </w:pPr>
            <w:r>
              <w:rPr>
                <w:rFonts w:hint="eastAsia" w:ascii="仿宋_GB2312" w:hAnsi="仿宋_GB2312" w:cs="仿宋_GB2312"/>
                <w:color w:val="000000"/>
                <w:sz w:val="24"/>
              </w:rPr>
              <w:t>策划我区楼宇经济专题宣传方案，大力宣传、及时报道楼宇经济工作的新进展和新举措，形成良好舆论氛围。</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区委宣传部</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区发改局，十街镇</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杨朝晖</w:t>
            </w:r>
          </w:p>
        </w:tc>
      </w:tr>
      <w:tr>
        <w:tblPrEx>
          <w:tblCellMar>
            <w:top w:w="0" w:type="dxa"/>
            <w:left w:w="15" w:type="dxa"/>
            <w:bottom w:w="0" w:type="dxa"/>
            <w:right w:w="15" w:type="dxa"/>
          </w:tblCellMar>
        </w:tblPrEx>
        <w:trPr>
          <w:gridAfter w:val="1"/>
          <w:wAfter w:w="140" w:type="dxa"/>
          <w:trHeight w:val="1139" w:hRule="atLeast"/>
          <w:jc w:val="center"/>
        </w:trPr>
        <w:tc>
          <w:tcPr>
            <w:tcW w:w="454"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64</w:t>
            </w:r>
          </w:p>
        </w:tc>
        <w:tc>
          <w:tcPr>
            <w:tcW w:w="567" w:type="dxa"/>
            <w:vMerge w:val="continue"/>
            <w:tcBorders>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黑体" w:hAnsi="黑体" w:eastAsia="黑体" w:cs="黑体"/>
                <w:bCs/>
                <w:color w:val="000000"/>
                <w:sz w:val="24"/>
              </w:rPr>
            </w:pPr>
          </w:p>
        </w:tc>
        <w:tc>
          <w:tcPr>
            <w:tcW w:w="1654" w:type="dxa"/>
            <w:gridSpan w:val="2"/>
            <w:vMerge w:val="continue"/>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p>
        </w:tc>
        <w:tc>
          <w:tcPr>
            <w:tcW w:w="6631" w:type="dxa"/>
            <w:tcBorders>
              <w:top w:val="single" w:color="auto" w:sz="4" w:space="0"/>
              <w:left w:val="single" w:color="auto" w:sz="4" w:space="0"/>
              <w:bottom w:val="single" w:color="auto" w:sz="4" w:space="0"/>
              <w:right w:val="single" w:color="auto" w:sz="4" w:space="0"/>
            </w:tcBorders>
            <w:vAlign w:val="center"/>
          </w:tcPr>
          <w:p>
            <w:pPr>
              <w:pStyle w:val="2"/>
              <w:spacing w:after="0" w:line="360" w:lineRule="exact"/>
              <w:rPr>
                <w:rFonts w:ascii="仿宋_GB2312" w:hAnsi="仿宋_GB2312" w:cs="仿宋_GB2312"/>
                <w:color w:val="000000"/>
                <w:sz w:val="24"/>
              </w:rPr>
            </w:pPr>
            <w:r>
              <w:rPr>
                <w:rFonts w:hint="eastAsia" w:ascii="仿宋_GB2312" w:hAnsi="仿宋_GB2312" w:cs="仿宋_GB2312"/>
                <w:color w:val="000000"/>
                <w:sz w:val="24"/>
              </w:rPr>
              <w:t>开展比学亮晒。贯彻落实“一线工作法”，加强统筹协调，组织监督检查，确保各项工作有序推进。</w:t>
            </w:r>
          </w:p>
        </w:tc>
        <w:tc>
          <w:tcPr>
            <w:tcW w:w="149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740" w:type="dxa"/>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w:t>
            </w:r>
          </w:p>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小组成员单位</w:t>
            </w:r>
          </w:p>
        </w:tc>
        <w:tc>
          <w:tcPr>
            <w:tcW w:w="94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tc>
      </w:tr>
    </w:tbl>
    <w:p>
      <w:pPr>
        <w:pStyle w:val="2"/>
        <w:spacing w:after="0" w:line="400" w:lineRule="exact"/>
        <w:rPr>
          <w:color w:val="000000"/>
        </w:rPr>
      </w:pPr>
    </w:p>
    <w:tbl>
      <w:tblPr>
        <w:tblStyle w:val="11"/>
        <w:tblpPr w:leftFromText="180" w:rightFromText="180" w:vertAnchor="text" w:horzAnchor="page" w:tblpXSpec="center" w:tblpY="159"/>
        <w:tblOverlap w:val="never"/>
        <w:tblW w:w="0" w:type="auto"/>
        <w:jc w:val="center"/>
        <w:tblLayout w:type="fixed"/>
        <w:tblCellMar>
          <w:top w:w="0" w:type="dxa"/>
          <w:left w:w="15" w:type="dxa"/>
          <w:bottom w:w="0" w:type="dxa"/>
          <w:right w:w="15" w:type="dxa"/>
        </w:tblCellMar>
      </w:tblPr>
      <w:tblGrid>
        <w:gridCol w:w="441"/>
        <w:gridCol w:w="567"/>
        <w:gridCol w:w="1667"/>
        <w:gridCol w:w="6078"/>
        <w:gridCol w:w="1612"/>
        <w:gridCol w:w="2359"/>
        <w:gridCol w:w="1300"/>
      </w:tblGrid>
      <w:tr>
        <w:tblPrEx>
          <w:tblCellMar>
            <w:top w:w="0" w:type="dxa"/>
            <w:left w:w="15" w:type="dxa"/>
            <w:bottom w:w="0" w:type="dxa"/>
            <w:right w:w="15" w:type="dxa"/>
          </w:tblCellMar>
        </w:tblPrEx>
        <w:trPr>
          <w:trHeight w:val="115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序号</w:t>
            </w:r>
          </w:p>
        </w:tc>
        <w:tc>
          <w:tcPr>
            <w:tcW w:w="5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r>
              <w:rPr>
                <w:rFonts w:hint="eastAsia" w:ascii="黑体" w:hAnsi="黑体" w:eastAsia="黑体" w:cs="黑体"/>
                <w:bCs/>
                <w:color w:val="000000"/>
                <w:sz w:val="24"/>
              </w:rPr>
              <w:t>项目名称</w:t>
            </w: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主要内容</w:t>
            </w:r>
          </w:p>
        </w:tc>
        <w:tc>
          <w:tcPr>
            <w:tcW w:w="6078"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黑体" w:hAnsi="黑体" w:eastAsia="黑体" w:cs="黑体"/>
                <w:bCs/>
                <w:color w:val="000000"/>
                <w:sz w:val="24"/>
              </w:rPr>
              <w:t>主要项目</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牵头单位</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配合单位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黑体" w:hAnsi="黑体" w:eastAsia="黑体" w:cs="黑体"/>
                <w:bCs/>
                <w:color w:val="000000"/>
                <w:sz w:val="24"/>
              </w:rPr>
              <w:t>分管区领导</w:t>
            </w:r>
          </w:p>
        </w:tc>
      </w:tr>
      <w:tr>
        <w:tblPrEx>
          <w:tblCellMar>
            <w:top w:w="0" w:type="dxa"/>
            <w:left w:w="15" w:type="dxa"/>
            <w:bottom w:w="0" w:type="dxa"/>
            <w:right w:w="15" w:type="dxa"/>
          </w:tblCellMar>
        </w:tblPrEx>
        <w:trPr>
          <w:trHeight w:val="1635"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65</w:t>
            </w:r>
          </w:p>
        </w:tc>
        <w:tc>
          <w:tcPr>
            <w:tcW w:w="567" w:type="dxa"/>
            <w:vMerge w:val="restart"/>
            <w:tcBorders>
              <w:top w:val="single" w:color="auto" w:sz="4" w:space="0"/>
              <w:left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提升要素凝聚力</w:t>
            </w:r>
          </w:p>
          <w:p>
            <w:pPr>
              <w:autoSpaceDN w:val="0"/>
              <w:spacing w:line="400" w:lineRule="exact"/>
              <w:jc w:val="center"/>
              <w:textAlignment w:val="center"/>
              <w:rPr>
                <w:rFonts w:ascii="黑体" w:hAnsi="黑体" w:eastAsia="黑体" w:cs="黑体"/>
                <w:bCs/>
                <w:color w:val="000000"/>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加强对外交流</w:t>
            </w:r>
          </w:p>
        </w:tc>
        <w:tc>
          <w:tcPr>
            <w:tcW w:w="607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color w:val="000000"/>
                <w:sz w:val="24"/>
              </w:rPr>
            </w:pPr>
            <w:r>
              <w:rPr>
                <w:rFonts w:hint="eastAsia" w:ascii="仿宋_GB2312" w:hAnsi="仿宋_GB2312" w:cs="仿宋_GB2312"/>
                <w:bCs/>
                <w:color w:val="000000"/>
                <w:sz w:val="24"/>
              </w:rPr>
              <w:t>积极参加中国楼宇经济峰会等对外交流活动。</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区楼宇经济工作领导</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小组成员单位</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tc>
      </w:tr>
      <w:tr>
        <w:tblPrEx>
          <w:tblCellMar>
            <w:top w:w="0" w:type="dxa"/>
            <w:left w:w="15" w:type="dxa"/>
            <w:bottom w:w="0" w:type="dxa"/>
            <w:right w:w="15" w:type="dxa"/>
          </w:tblCellMar>
        </w:tblPrEx>
        <w:trPr>
          <w:trHeight w:val="1853"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66</w:t>
            </w:r>
          </w:p>
        </w:tc>
        <w:tc>
          <w:tcPr>
            <w:tcW w:w="567" w:type="dxa"/>
            <w:vMerge w:val="continue"/>
            <w:tcBorders>
              <w:left w:val="single" w:color="auto" w:sz="4" w:space="0"/>
              <w:right w:val="single" w:color="auto" w:sz="4" w:space="0"/>
            </w:tcBorders>
            <w:vAlign w:val="center"/>
          </w:tcPr>
          <w:p>
            <w:pPr>
              <w:autoSpaceDN w:val="0"/>
              <w:spacing w:line="400" w:lineRule="exact"/>
              <w:jc w:val="center"/>
              <w:textAlignment w:val="center"/>
              <w:rPr>
                <w:rFonts w:ascii="黑体" w:hAnsi="黑体" w:eastAsia="黑体" w:cs="黑体"/>
                <w:bCs/>
                <w:color w:val="000000"/>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整合社会资源</w:t>
            </w:r>
          </w:p>
        </w:tc>
        <w:tc>
          <w:tcPr>
            <w:tcW w:w="6078" w:type="dxa"/>
            <w:tcBorders>
              <w:top w:val="single" w:color="auto" w:sz="4" w:space="0"/>
              <w:left w:val="single" w:color="auto" w:sz="4" w:space="0"/>
              <w:bottom w:val="single" w:color="auto" w:sz="4" w:space="0"/>
              <w:right w:val="single" w:color="auto" w:sz="4" w:space="0"/>
            </w:tcBorders>
            <w:vAlign w:val="center"/>
          </w:tcPr>
          <w:p>
            <w:pPr>
              <w:pStyle w:val="2"/>
              <w:spacing w:after="0" w:line="400" w:lineRule="exact"/>
              <w:rPr>
                <w:rFonts w:ascii="仿宋_GB2312" w:hAnsi="仿宋_GB2312" w:cs="仿宋_GB2312"/>
                <w:color w:val="000000"/>
                <w:sz w:val="24"/>
              </w:rPr>
            </w:pPr>
            <w:r>
              <w:rPr>
                <w:rFonts w:hint="eastAsia" w:ascii="仿宋_GB2312" w:hAnsi="仿宋_GB2312" w:cs="仿宋_GB2312"/>
                <w:color w:val="000000"/>
                <w:sz w:val="24"/>
              </w:rPr>
              <w:t>加强资本引流，吸引各类社会资本积极参与地块更新、市场化改造和楼宇运营，提升楼宇资产属性。</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区金融办</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区招商办、区房管局、区发改局，十街镇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杨  辉</w:t>
            </w:r>
          </w:p>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黄瑞忠</w:t>
            </w:r>
          </w:p>
        </w:tc>
      </w:tr>
      <w:tr>
        <w:trPr>
          <w:trHeight w:val="1998"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bCs/>
                <w:color w:val="000000"/>
                <w:sz w:val="24"/>
              </w:rPr>
              <w:t>67</w:t>
            </w:r>
          </w:p>
        </w:tc>
        <w:tc>
          <w:tcPr>
            <w:tcW w:w="567" w:type="dxa"/>
            <w:vMerge w:val="continue"/>
            <w:tcBorders>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构建楼宇智库</w:t>
            </w:r>
          </w:p>
        </w:tc>
        <w:tc>
          <w:tcPr>
            <w:tcW w:w="607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_GB2312" w:hAnsi="仿宋_GB2312" w:cs="仿宋_GB2312"/>
                <w:bCs/>
                <w:color w:val="000000"/>
                <w:sz w:val="24"/>
              </w:rPr>
            </w:pPr>
            <w:r>
              <w:rPr>
                <w:rFonts w:hint="eastAsia" w:ascii="仿宋_GB2312" w:hAnsi="仿宋_GB2312" w:cs="仿宋_GB2312"/>
                <w:color w:val="000000"/>
                <w:sz w:val="24"/>
              </w:rPr>
              <w:t>培育“楼宇智囊团”，参与、协助楼宇经济专项工作，推动我区楼宇经济高质量发展。</w:t>
            </w:r>
          </w:p>
        </w:tc>
        <w:tc>
          <w:tcPr>
            <w:tcW w:w="1612"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color w:val="000000"/>
                <w:sz w:val="24"/>
              </w:rPr>
            </w:pPr>
            <w:r>
              <w:rPr>
                <w:rFonts w:hint="eastAsia" w:ascii="仿宋_GB2312" w:hAnsi="仿宋_GB2312" w:cs="仿宋_GB2312"/>
                <w:color w:val="000000"/>
                <w:sz w:val="24"/>
              </w:rPr>
              <w:t>区发改局</w:t>
            </w:r>
          </w:p>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区人才办</w:t>
            </w:r>
          </w:p>
        </w:tc>
        <w:tc>
          <w:tcPr>
            <w:tcW w:w="2359"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区房管局，十街镇</w:t>
            </w:r>
          </w:p>
        </w:tc>
        <w:tc>
          <w:tcPr>
            <w:tcW w:w="1300"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仿宋_GB2312" w:hAnsi="仿宋_GB2312" w:cs="仿宋_GB2312"/>
                <w:bCs/>
                <w:color w:val="000000"/>
                <w:sz w:val="24"/>
              </w:rPr>
            </w:pPr>
            <w:r>
              <w:rPr>
                <w:rFonts w:hint="eastAsia" w:ascii="仿宋_GB2312" w:hAnsi="仿宋_GB2312" w:cs="仿宋_GB2312"/>
                <w:color w:val="000000"/>
                <w:sz w:val="24"/>
              </w:rPr>
              <w:t>杨  辉</w:t>
            </w:r>
          </w:p>
        </w:tc>
      </w:tr>
    </w:tbl>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pPr>
    </w:p>
    <w:p>
      <w:pPr>
        <w:pStyle w:val="2"/>
        <w:rPr>
          <w:color w:val="000000"/>
        </w:rPr>
        <w:sectPr>
          <w:pgSz w:w="16838" w:h="11906" w:orient="landscape"/>
          <w:pgMar w:top="1134" w:right="850" w:bottom="1134" w:left="850" w:header="851" w:footer="1049" w:gutter="0"/>
          <w:cols w:space="720" w:num="1"/>
          <w:docGrid w:type="linesAndChars" w:linePitch="602" w:charSpace="1843"/>
        </w:sectPr>
      </w:pPr>
    </w:p>
    <w:p>
      <w:pPr>
        <w:pStyle w:val="2"/>
        <w:rPr>
          <w:rFonts w:ascii="仿宋_GB2312" w:hAnsi="仿宋_GB2312" w:cs="仿宋_GB2312"/>
          <w:color w:val="000000"/>
          <w:szCs w:val="32"/>
        </w:rPr>
      </w:pPr>
    </w:p>
    <w:sectPr>
      <w:footerReference r:id="rId5" w:type="default"/>
      <w:pgSz w:w="11906" w:h="16838"/>
      <w:pgMar w:top="1701" w:right="1531" w:bottom="1701" w:left="1531" w:header="851" w:footer="1049" w:gutter="0"/>
      <w:pgNumType w:fmt="numberInDash"/>
      <w:cols w:space="720" w:num="1"/>
      <w:docGrid w:type="linesAndChars" w:linePitch="602" w:charSpace="412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Ubuntu Light">
    <w:panose1 w:val="020B0604030602030204"/>
    <w:charset w:val="00"/>
    <w:family w:val="auto"/>
    <w:pitch w:val="default"/>
    <w:sig w:usb0="E00002FF" w:usb1="5000205B" w:usb2="00000000" w:usb3="00000000" w:csb0="2000009F" w:csb1="5601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pacing w:line="471" w:lineRule="auto"/>
      <w:ind w:right="320" w:rightChars="100"/>
      <w:jc w:val="right"/>
      <w:rPr>
        <w:rFonts w:ascii="楷体_GB2312" w:eastAsia="楷体_GB2312"/>
        <w:sz w:val="28"/>
      </w:rPr>
    </w:pPr>
    <w:r>
      <w:rPr>
        <w:rStyle w:val="13"/>
        <w:rFonts w:hint="eastAsia" w:ascii="宋体" w:hAnsi="宋体" w:eastAsia="宋体"/>
        <w:sz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18</w:t>
    </w:r>
    <w:r>
      <w:rPr>
        <w:rFonts w:hint="eastAsia" w:ascii="宋体" w:hAnsi="宋体" w:eastAsia="宋体" w:cs="宋体"/>
        <w:sz w:val="28"/>
        <w:szCs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471" w:lineRule="auto"/>
      <w:ind w:left="320" w:leftChars="100"/>
      <w:rPr>
        <w:rStyle w:val="13"/>
        <w:rFonts w:ascii="宋体" w:hAnsi="宋体" w:eastAsia="宋体"/>
        <w:sz w:val="28"/>
      </w:rPr>
    </w:pPr>
    <w:r>
      <w:rPr>
        <w:rStyle w:val="13"/>
        <w:rFonts w:hint="eastAsia" w:ascii="宋体" w:hAnsi="宋体" w:eastAsia="宋体"/>
        <w:sz w:val="28"/>
      </w:rPr>
      <w:t xml:space="preserve">— </w:t>
    </w:r>
    <w:r>
      <w:rPr>
        <w:rFonts w:hint="eastAsia" w:ascii="宋体" w:hAnsi="宋体" w:eastAsia="宋体"/>
        <w:sz w:val="28"/>
      </w:rPr>
      <w:fldChar w:fldCharType="begin"/>
    </w:r>
    <w:r>
      <w:rPr>
        <w:rStyle w:val="13"/>
        <w:rFonts w:hint="eastAsia" w:ascii="宋体" w:hAnsi="宋体" w:eastAsia="宋体"/>
        <w:sz w:val="28"/>
      </w:rPr>
      <w:instrText xml:space="preserve"> PAGE </w:instrText>
    </w:r>
    <w:r>
      <w:rPr>
        <w:rFonts w:hint="eastAsia" w:ascii="宋体" w:hAnsi="宋体" w:eastAsia="宋体"/>
        <w:sz w:val="28"/>
      </w:rPr>
      <w:fldChar w:fldCharType="separate"/>
    </w:r>
    <w:r>
      <w:rPr>
        <w:rStyle w:val="13"/>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13"/>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- 19 -</w:t>
                </w:r>
                <w:r>
                  <w:rPr>
                    <w:rFonts w:hint="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HorizontalSpacing w:val="170"/>
  <w:drawingGridVerticalSpacing w:val="30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docVars>
    <w:docVar w:name="OpenTime" w:val="2019-01-29 16:59:00"/>
    <w:docVar w:name="SessionId" w:val="LtpaToken=AAECAzVDNTAxMjE3NUM1MEZDNzdDTj1VMDA3MTA1L089RlVaSE9VQPsmhbBcKx47drJazpmKVwGxRJk="/>
  </w:docVars>
  <w:rsids>
    <w:rsidRoot w:val="0087167A"/>
    <w:rsid w:val="0002180B"/>
    <w:rsid w:val="00033C1E"/>
    <w:rsid w:val="000A3C14"/>
    <w:rsid w:val="00183C9F"/>
    <w:rsid w:val="001868C7"/>
    <w:rsid w:val="001B1320"/>
    <w:rsid w:val="002872EC"/>
    <w:rsid w:val="003B4A29"/>
    <w:rsid w:val="005D436D"/>
    <w:rsid w:val="00600E41"/>
    <w:rsid w:val="00716594"/>
    <w:rsid w:val="00754F79"/>
    <w:rsid w:val="007B5421"/>
    <w:rsid w:val="008463A9"/>
    <w:rsid w:val="0087167A"/>
    <w:rsid w:val="008B5AF1"/>
    <w:rsid w:val="00912A12"/>
    <w:rsid w:val="00AA592B"/>
    <w:rsid w:val="00B54D8E"/>
    <w:rsid w:val="00D44DC5"/>
    <w:rsid w:val="00DE747F"/>
    <w:rsid w:val="00E312D6"/>
    <w:rsid w:val="00E56B40"/>
    <w:rsid w:val="00F23DC8"/>
    <w:rsid w:val="00F32524"/>
    <w:rsid w:val="00FE1B26"/>
    <w:rsid w:val="01370746"/>
    <w:rsid w:val="057C0635"/>
    <w:rsid w:val="05905AF6"/>
    <w:rsid w:val="05CC13DB"/>
    <w:rsid w:val="06007F55"/>
    <w:rsid w:val="0749601C"/>
    <w:rsid w:val="080E06D6"/>
    <w:rsid w:val="085C148C"/>
    <w:rsid w:val="09812DE6"/>
    <w:rsid w:val="0A51046F"/>
    <w:rsid w:val="0B01700A"/>
    <w:rsid w:val="0E0A14B7"/>
    <w:rsid w:val="0FA10CEC"/>
    <w:rsid w:val="10600D4C"/>
    <w:rsid w:val="15A16688"/>
    <w:rsid w:val="15E6122C"/>
    <w:rsid w:val="16AF3FBB"/>
    <w:rsid w:val="19855CE2"/>
    <w:rsid w:val="1B76255D"/>
    <w:rsid w:val="1C2D18E4"/>
    <w:rsid w:val="1EDA597E"/>
    <w:rsid w:val="21075E33"/>
    <w:rsid w:val="22413668"/>
    <w:rsid w:val="23377CB5"/>
    <w:rsid w:val="284D198D"/>
    <w:rsid w:val="28683C1D"/>
    <w:rsid w:val="2BC75008"/>
    <w:rsid w:val="30D525A9"/>
    <w:rsid w:val="33836352"/>
    <w:rsid w:val="339F7CDF"/>
    <w:rsid w:val="37762F8C"/>
    <w:rsid w:val="37882911"/>
    <w:rsid w:val="3B617DFB"/>
    <w:rsid w:val="3E8E2474"/>
    <w:rsid w:val="40CA0C4B"/>
    <w:rsid w:val="410947AC"/>
    <w:rsid w:val="410E1703"/>
    <w:rsid w:val="44675478"/>
    <w:rsid w:val="44E37F1E"/>
    <w:rsid w:val="4520371F"/>
    <w:rsid w:val="461C2C8A"/>
    <w:rsid w:val="4812312A"/>
    <w:rsid w:val="493B04F1"/>
    <w:rsid w:val="4ABC522D"/>
    <w:rsid w:val="4CB71CDB"/>
    <w:rsid w:val="4CD01437"/>
    <w:rsid w:val="4ED568CD"/>
    <w:rsid w:val="50C7723C"/>
    <w:rsid w:val="516F74EC"/>
    <w:rsid w:val="51E0399B"/>
    <w:rsid w:val="53CE18FC"/>
    <w:rsid w:val="53FD4199"/>
    <w:rsid w:val="54432A10"/>
    <w:rsid w:val="57054D97"/>
    <w:rsid w:val="5BBD10D5"/>
    <w:rsid w:val="5C9811A1"/>
    <w:rsid w:val="5D746C2A"/>
    <w:rsid w:val="5E5D670C"/>
    <w:rsid w:val="5F8C7F91"/>
    <w:rsid w:val="6014706A"/>
    <w:rsid w:val="603A3030"/>
    <w:rsid w:val="618237B8"/>
    <w:rsid w:val="6266377C"/>
    <w:rsid w:val="659873E4"/>
    <w:rsid w:val="66366A4F"/>
    <w:rsid w:val="67D55730"/>
    <w:rsid w:val="69182918"/>
    <w:rsid w:val="69E22212"/>
    <w:rsid w:val="6C613C71"/>
    <w:rsid w:val="6F9B0926"/>
    <w:rsid w:val="71722F1A"/>
    <w:rsid w:val="73B67C45"/>
    <w:rsid w:val="75AA6A9A"/>
    <w:rsid w:val="76854824"/>
    <w:rsid w:val="7745692F"/>
    <w:rsid w:val="7B9951CF"/>
    <w:rsid w:val="7D3172BB"/>
    <w:rsid w:val="7DBC773E"/>
    <w:rsid w:val="7EAD06D8"/>
    <w:rsid w:val="7EC61A20"/>
    <w:rsid w:val="7FBD389E"/>
    <w:rsid w:val="7FE611EE"/>
    <w:rsid w:val="7FE8112A"/>
    <w:rsid w:val="7FEE5066"/>
    <w:rsid w:val="DEF0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style>
  <w:style w:type="paragraph" w:styleId="3">
    <w:name w:val="Normal Indent"/>
    <w:basedOn w:val="1"/>
    <w:qFormat/>
    <w:uiPriority w:val="0"/>
    <w:pPr>
      <w:spacing w:line="240" w:lineRule="atLeast"/>
      <w:ind w:firstLine="420"/>
    </w:pPr>
    <w:rPr>
      <w:rFonts w:ascii="Verdana" w:hAnsi="Verdana"/>
      <w:szCs w:val="20"/>
    </w:rPr>
  </w:style>
  <w:style w:type="paragraph" w:styleId="4">
    <w:name w:val="Date"/>
    <w:basedOn w:val="1"/>
    <w:next w:val="1"/>
    <w:qFormat/>
    <w:uiPriority w:val="0"/>
    <w:rPr>
      <w:rFonts w:ascii="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index heading"/>
    <w:basedOn w:val="1"/>
    <w:next w:val="9"/>
    <w:qFormat/>
    <w:uiPriority w:val="0"/>
    <w:rPr>
      <w:rFonts w:ascii="Arial" w:hAnsi="Arial" w:cs="Arial"/>
      <w:b/>
      <w:bCs/>
    </w:rPr>
  </w:style>
  <w:style w:type="paragraph" w:styleId="9">
    <w:name w:val="index 1"/>
    <w:basedOn w:val="1"/>
    <w:next w:val="1"/>
    <w:qFormat/>
    <w:uiPriority w:val="0"/>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paragraph" w:customStyle="1" w:styleId="14">
    <w:name w:val="NLP公文-正文"/>
    <w:qFormat/>
    <w:uiPriority w:val="99"/>
    <w:pPr>
      <w:spacing w:line="560" w:lineRule="exact"/>
      <w:ind w:firstLine="640"/>
    </w:pPr>
    <w:rPr>
      <w:rFonts w:ascii="仿宋_GB2312" w:hAnsi="仿宋_GB2312" w:eastAsia="仿宋_GB2312" w:cs="Times New Roman"/>
      <w:kern w:val="2"/>
      <w:sz w:val="32"/>
      <w:szCs w:val="32"/>
      <w:lang w:val="en-US" w:eastAsia="zh-CN" w:bidi="ar-SA"/>
    </w:rPr>
  </w:style>
  <w:style w:type="character" w:customStyle="1" w:styleId="15">
    <w:name w:val="正文文本 Char"/>
    <w:basedOn w:val="12"/>
    <w:link w:val="2"/>
    <w:qFormat/>
    <w:uiPriority w:val="0"/>
    <w:rPr>
      <w:rFonts w:eastAsia="仿宋_GB2312"/>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19</Pages>
  <Words>1463</Words>
  <Characters>8343</Characters>
  <Lines>69</Lines>
  <Paragraphs>19</Paragraphs>
  <TotalTime>10</TotalTime>
  <ScaleCrop>false</ScaleCrop>
  <LinksUpToDate>false</LinksUpToDate>
  <CharactersWithSpaces>9787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2020-06-10T05:34:00Z</dcterms:created>
  <dc:creator>RJeGov</dc:creator>
  <cp:lastModifiedBy>administrator</cp:lastModifiedBy>
  <cp:lastPrinted>2020-04-08T19:21:00Z</cp:lastPrinted>
  <dcterms:modified xsi:type="dcterms:W3CDTF">2025-04-14T10:29:06Z</dcterms:modified>
  <dc:title>正文文件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4BFC04922C2B41909592F8674C52F29F</vt:lpwstr>
  </property>
</Properties>
</file>