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竞争性磋商文件</w:t>
      </w:r>
    </w:p>
    <w:p>
      <w:pPr>
        <w:pStyle w:val="null3"/>
        <w:jc w:val="center"/>
        <w:outlineLvl w:val="0"/>
      </w:pPr>
      <w:r>
        <w:rPr>
          <w:sz w:val="48"/>
          <w:b/>
        </w:rPr>
        <w:t>（服务类）</w:t>
      </w:r>
    </w:p>
    <w:p>
      <w:pPr>
        <w:pStyle w:val="null3"/>
        <w:jc w:val="center"/>
        <w:outlineLvl w:val="2"/>
      </w:pPr>
      <w:r>
        <w:rPr>
          <w:sz w:val="28"/>
          <w:b/>
        </w:rPr>
        <w:t>项目名称：</w:t>
      </w:r>
      <w:r>
        <w:rPr>
          <w:sz w:val="28"/>
          <w:b/>
        </w:rPr>
        <w:t>鼓楼区巡察驻点餐饮服务项目</w:t>
      </w:r>
    </w:p>
    <w:p>
      <w:pPr>
        <w:pStyle w:val="null3"/>
        <w:jc w:val="center"/>
        <w:outlineLvl w:val="2"/>
      </w:pPr>
      <w:r>
        <w:rPr>
          <w:sz w:val="28"/>
          <w:b/>
        </w:rPr>
        <w:t>备案编号：</w:t>
      </w:r>
      <w:r>
        <w:rPr>
          <w:sz w:val="28"/>
          <w:b/>
        </w:rPr>
        <w:t>CGXM-2024-350102-00169[2024]00477</w:t>
      </w:r>
    </w:p>
    <w:p>
      <w:pPr>
        <w:pStyle w:val="null3"/>
        <w:jc w:val="center"/>
        <w:outlineLvl w:val="2"/>
      </w:pPr>
      <w:r>
        <w:rPr>
          <w:sz w:val="28"/>
          <w:b/>
        </w:rPr>
        <w:t>项目编号：</w:t>
      </w:r>
      <w:r>
        <w:rPr>
          <w:sz w:val="28"/>
          <w:b/>
        </w:rPr>
        <w:t>[350102]FJRC[CS]2024001</w:t>
      </w:r>
    </w:p>
    <w:p>
      <w:pPr>
        <w:pStyle w:val="null3"/>
        <w:jc w:val="center"/>
        <w:outlineLvl w:val="2"/>
      </w:pPr>
      <w:r>
        <w:rPr>
          <w:sz w:val="28"/>
          <w:b/>
        </w:rPr>
        <w:t>采购人：</w:t>
      </w:r>
      <w:r>
        <w:rPr>
          <w:sz w:val="28"/>
          <w:b/>
        </w:rPr>
        <w:t>中国共产党福州市鼓楼区纪律检查委员会</w:t>
      </w:r>
    </w:p>
    <w:p>
      <w:pPr>
        <w:pStyle w:val="null3"/>
        <w:jc w:val="center"/>
        <w:outlineLvl w:val="2"/>
      </w:pPr>
      <w:r>
        <w:rPr>
          <w:sz w:val="28"/>
          <w:b/>
        </w:rPr>
        <w:t>代理机构：</w:t>
      </w:r>
      <w:r>
        <w:rPr>
          <w:sz w:val="28"/>
          <w:b/>
        </w:rPr>
        <w:t>福建然诚项目管理有限公司</w:t>
      </w:r>
    </w:p>
    <w:p>
      <w:pPr>
        <w:pStyle w:val="null3"/>
        <w:jc w:val="center"/>
        <w:outlineLvl w:val="2"/>
      </w:pPr>
      <w:r>
        <w:rPr>
          <w:sz w:val="28"/>
          <w:b/>
        </w:rPr>
        <w:t>编制时间</w:t>
      </w:r>
      <w:r>
        <w:rPr>
          <w:sz w:val="28"/>
          <w:b/>
        </w:rPr>
        <w:t>：</w:t>
      </w:r>
      <w:r>
        <w:rPr>
          <w:sz w:val="28"/>
          <w:b/>
        </w:rPr>
        <w:t>2024年09月</w:t>
      </w:r>
    </w:p>
    <w:p>
      <w:pPr>
        <w:pStyle w:val="null3"/>
      </w:pPr>
      <w:r>
        <w:rPr/>
        <w:t xml:space="preserve"> </w:t>
        <w:br/>
        <w:br w:type="page"/>
      </w:r>
    </w:p>
    <w:p>
      <w:pPr>
        <w:pStyle w:val="null3"/>
        <w:jc w:val="center"/>
        <w:outlineLvl w:val="1"/>
      </w:pPr>
      <w:r>
        <w:rPr>
          <w:sz w:val="36"/>
          <w:b/>
        </w:rPr>
        <w:t>第一章 采购邀请书</w:t>
      </w:r>
    </w:p>
    <w:p>
      <w:pPr>
        <w:pStyle w:val="null3"/>
        <w:jc w:val="center"/>
      </w:pPr>
      <w:r>
        <w:rPr>
          <w:b/>
        </w:rPr>
        <w:t>竞争性磋商采购公告</w:t>
      </w:r>
    </w:p>
    <w:p>
      <w:pPr>
        <w:pStyle w:val="null3"/>
        <w:ind w:firstLine="480"/>
        <w:jc w:val="left"/>
      </w:pPr>
      <w:r>
        <w:rPr/>
        <w:t>中国共产党福州市鼓楼区纪律检查委员会</w:t>
      </w:r>
      <w:r>
        <w:rPr/>
        <w:t xml:space="preserve"> 已根据政府采购相关法律法规，经相应程序确定采用 竞争性磋商 方式组织 </w:t>
      </w:r>
      <w:r>
        <w:rPr/>
        <w:t>鼓楼区巡察驻点餐饮服务项目</w:t>
      </w:r>
      <w:r>
        <w:rPr/>
        <w:t xml:space="preserve"> 项目（以下简称：“本项目”）的政府采购活动， </w:t>
      </w:r>
      <w:r>
        <w:rPr/>
        <w:t>现欢迎国内合格的供应商前来参加。</w:t>
      </w:r>
      <w:r>
        <w:rPr/>
        <w:t xml:space="preserve"> 本项目由采购人委托 </w:t>
      </w:r>
      <w:r>
        <w:rPr/>
        <w:t>福建然诚项目管理有限公司</w:t>
      </w:r>
      <w:r>
        <w:rPr/>
        <w:t xml:space="preserve"> 开展竞争性磋商活动。</w:t>
      </w:r>
    </w:p>
    <w:p>
      <w:pPr>
        <w:pStyle w:val="null3"/>
        <w:ind w:firstLine="480"/>
        <w:jc w:val="left"/>
        <w:outlineLvl w:val="2"/>
      </w:pPr>
      <w:r>
        <w:rPr>
          <w:sz w:val="28"/>
          <w:b/>
        </w:rPr>
        <w:t>1.项目名称</w:t>
      </w:r>
      <w:r>
        <w:rPr>
          <w:sz w:val="28"/>
          <w:b/>
        </w:rPr>
        <w:t xml:space="preserve">： </w:t>
      </w:r>
      <w:r>
        <w:rPr>
          <w:sz w:val="28"/>
          <w:b/>
        </w:rPr>
        <w:t>鼓楼区巡察驻点餐饮服务项目</w:t>
      </w:r>
    </w:p>
    <w:p>
      <w:pPr>
        <w:pStyle w:val="null3"/>
        <w:ind w:firstLine="480"/>
        <w:jc w:val="left"/>
        <w:outlineLvl w:val="2"/>
      </w:pPr>
      <w:r>
        <w:rPr>
          <w:sz w:val="28"/>
          <w:b/>
        </w:rPr>
        <w:t>2.备案编号</w:t>
      </w:r>
      <w:r>
        <w:rPr>
          <w:sz w:val="28"/>
          <w:b/>
        </w:rPr>
        <w:t xml:space="preserve">： </w:t>
      </w:r>
      <w:r>
        <w:rPr>
          <w:sz w:val="28"/>
          <w:b/>
        </w:rPr>
        <w:t>CGXM-2024-350102-00169[2024]00477</w:t>
      </w:r>
    </w:p>
    <w:p>
      <w:pPr>
        <w:pStyle w:val="null3"/>
        <w:ind w:firstLine="480"/>
        <w:jc w:val="left"/>
        <w:outlineLvl w:val="2"/>
      </w:pPr>
      <w:r>
        <w:rPr>
          <w:sz w:val="28"/>
          <w:b/>
        </w:rPr>
        <w:t>3.项目编号</w:t>
      </w:r>
      <w:r>
        <w:rPr>
          <w:sz w:val="28"/>
          <w:b/>
        </w:rPr>
        <w:t xml:space="preserve">： </w:t>
      </w:r>
      <w:r>
        <w:rPr>
          <w:sz w:val="28"/>
          <w:b/>
        </w:rPr>
        <w:t>[350102]FJRC[CS]2024001</w:t>
      </w:r>
    </w:p>
    <w:p>
      <w:pPr>
        <w:pStyle w:val="null3"/>
        <w:ind w:firstLine="480"/>
        <w:jc w:val="left"/>
        <w:outlineLvl w:val="2"/>
      </w:pPr>
      <w:r>
        <w:rPr>
          <w:sz w:val="28"/>
          <w:b/>
        </w:rPr>
        <w:t>4.采购内容及要求：</w:t>
      </w:r>
    </w:p>
    <w:p>
      <w:pPr>
        <w:pStyle w:val="null3"/>
        <w:ind w:firstLine="960"/>
        <w:jc w:val="left"/>
      </w:pPr>
      <w:r>
        <w:rPr/>
        <w:t>采购包1：</w:t>
      </w:r>
    </w:p>
    <w:p>
      <w:pPr>
        <w:pStyle w:val="null3"/>
        <w:jc w:val="left"/>
      </w:pPr>
      <w:r>
        <w:rPr/>
        <w:t>采购包预算金额（元）: 648,000.00</w:t>
      </w:r>
    </w:p>
    <w:p>
      <w:pPr>
        <w:pStyle w:val="null3"/>
        <w:jc w:val="left"/>
      </w:pPr>
      <w:r>
        <w:rPr/>
        <w:t>采购包最高限价（元）: 648,000.00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鼓楼区巡察驻点餐饮服务项目</w:t>
            </w:r>
          </w:p>
        </w:tc>
        <w:tc>
          <w:tcPr>
            <w:tcW w:type="dxa" w:w="1187"/>
          </w:tcPr>
          <w:p>
            <w:pPr>
              <w:pStyle w:val="null3"/>
              <w:jc w:val="right"/>
            </w:pPr>
            <w:r>
              <w:rPr/>
              <w:t>1.00</w:t>
            </w:r>
          </w:p>
        </w:tc>
        <w:tc>
          <w:tcPr>
            <w:tcW w:type="dxa" w:w="1187"/>
          </w:tcPr>
          <w:p>
            <w:pPr>
              <w:pStyle w:val="null3"/>
              <w:jc w:val="right"/>
            </w:pPr>
            <w:r>
              <w:rPr/>
              <w:t>648,000.00</w:t>
            </w:r>
          </w:p>
        </w:tc>
        <w:tc>
          <w:tcPr>
            <w:tcW w:type="dxa" w:w="1187"/>
          </w:tcPr>
          <w:p>
            <w:pPr>
              <w:pStyle w:val="null3"/>
              <w:jc w:val="left"/>
            </w:pPr>
            <w:r>
              <w:rPr/>
              <w:t>项</w:t>
            </w:r>
          </w:p>
        </w:tc>
        <w:tc>
          <w:tcPr>
            <w:tcW w:type="dxa" w:w="1187"/>
          </w:tcPr>
          <w:p>
            <w:pPr>
              <w:pStyle w:val="null3"/>
              <w:jc w:val="left"/>
            </w:pPr>
            <w:r>
              <w:rPr/>
              <w:t>餐饮业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鼓楼区巡察驻点餐饮服务项目</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648,000.00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鼓楼区巡察驻点餐饮服务项目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鼓楼区巡察驻点餐饮服务项目</w:t>
            </w:r>
          </w:p>
        </w:tc>
        <w:tc>
          <w:tcPr>
            <w:tcW w:type="dxa" w:w="2076"/>
          </w:tcPr>
          <w:p>
            <w:pPr>
              <w:pStyle w:val="null3"/>
              <w:jc w:val="left"/>
            </w:pPr>
            <w:r>
              <w:rPr/>
              <w:t>鼓楼区巡察驻点餐饮服务项目</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648,000.00</w:t>
            </w:r>
          </w:p>
        </w:tc>
        <w:tc>
          <w:tcPr>
            <w:tcW w:type="dxa" w:w="831"/>
          </w:tcPr>
          <w:p>
            <w:pPr>
              <w:pStyle w:val="null3"/>
              <w:jc w:val="left"/>
            </w:pPr>
            <w:r>
              <w:rPr/>
              <w:t>总价</w:t>
            </w:r>
          </w:p>
        </w:tc>
        <w:tc>
          <w:tcPr>
            <w:tcW w:type="dxa" w:w="1246"/>
          </w:tcPr>
          <w:p>
            <w:pPr>
              <w:pStyle w:val="null3"/>
              <w:jc w:val="left"/>
            </w:pPr>
            <w:r>
              <w:rPr/>
              <w:t>无</w:t>
            </w:r>
          </w:p>
        </w:tc>
      </w:tr>
    </w:tbl>
    <w:p>
      <w:pPr>
        <w:pStyle w:val="null3"/>
        <w:ind w:firstLine="480"/>
        <w:jc w:val="left"/>
        <w:outlineLvl w:val="2"/>
      </w:pPr>
      <w:r>
        <w:rPr>
          <w:sz w:val="28"/>
          <w:b/>
        </w:rPr>
        <w:t>5.采购项目需要落实的政府采购政策：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r>
        <w:rPr/>
        <w:t>采购包1：设置专门采购包</w:t>
      </w:r>
    </w:p>
    <w:p>
      <w:pPr>
        <w:pStyle w:val="null3"/>
        <w:jc w:val="left"/>
      </w:pPr>
      <w:r>
        <w:rPr/>
        <w:t>面向的企业规模：</w:t>
      </w:r>
      <w:r>
        <w:rPr/>
        <w:t>中小企业</w:t>
      </w:r>
    </w:p>
    <w:p>
      <w:pPr>
        <w:pStyle w:val="null3"/>
        <w:jc w:val="left"/>
      </w:pPr>
      <w:r>
        <w:rPr/>
        <w:t>预留形式：</w:t>
      </w:r>
      <w:r>
        <w:rPr/>
        <w:t>设置专门采购包</w:t>
      </w:r>
    </w:p>
    <w:p>
      <w:pPr>
        <w:pStyle w:val="null3"/>
        <w:jc w:val="left"/>
      </w:pPr>
      <w:r>
        <w:rPr/>
        <w:t>预留比例：</w:t>
      </w:r>
      <w:r>
        <w:rPr/>
        <w:t>100%</w:t>
      </w:r>
    </w:p>
    <w:p>
      <w:pPr>
        <w:pStyle w:val="null3"/>
        <w:ind w:firstLine="480"/>
        <w:jc w:val="left"/>
        <w:outlineLvl w:val="2"/>
      </w:pPr>
      <w:r>
        <w:rPr>
          <w:sz w:val="28"/>
          <w:b/>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1、供应商提供的服务/货物应符合《政府采购促进中小企业发展管理办法》(财库〔2020〕46号) 第四条规定的情形，且应当提供《政府采购促进中小企业发展管理办法》(财库〔2020〕46号)规定的《中小企业声明函》，格式见采购文件相关附件。2、供应商为监狱企业的视同小型和微型企业，可不提供以上第1材料，但应当提供由省级以上监狱管理局、戒毒管理局(含新疆生产建设兵团)出具的属于监狱企业的证明文件。3、供应商为残疾人福利性单位的视同小型和微型企业，可不提供以上第1点材料，但应当提供《残疾人福利性单位声明函》，格式见第七章《投标文件格式》附件。4、本项目采购标的对应的中小企业划分标准所属行业为餐饮业。供应商须对应填写《中小企业声明函》(服务)模板；若供应商填写的《中小企业声明函》不是对应模板的或者提供的《中小企业声明函》中填写的行业与招标文件明确的采购标的对应的中小企业划分标准所属行业不一致，均不予认定为中小企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sz w:val="28"/>
          <w:b/>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sz w:val="28"/>
          <w:b/>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中国共产党福州市鼓楼区纪律检查委员会</w:t>
      </w:r>
    </w:p>
    <w:p>
      <w:pPr>
        <w:pStyle w:val="null3"/>
        <w:ind w:firstLine="960"/>
        <w:jc w:val="left"/>
      </w:pPr>
      <w:r>
        <w:rPr/>
        <w:t xml:space="preserve"> 地址： </w:t>
      </w:r>
      <w:r>
        <w:rPr/>
        <w:t>福州市鼓楼区津泰路98号</w:t>
      </w:r>
    </w:p>
    <w:p>
      <w:pPr>
        <w:pStyle w:val="null3"/>
        <w:jc w:val="left"/>
      </w:pPr>
      <w:r>
        <w:rPr/>
        <w:t xml:space="preserve"> 邮编： </w:t>
      </w:r>
      <w:r>
        <w:rPr/>
        <w:t>350000</w:t>
      </w:r>
    </w:p>
    <w:p>
      <w:pPr>
        <w:pStyle w:val="null3"/>
        <w:jc w:val="left"/>
      </w:pPr>
      <w:r>
        <w:rPr/>
        <w:t xml:space="preserve"> 联系人： </w:t>
      </w:r>
      <w:r>
        <w:rPr/>
        <w:t>曾先生</w:t>
      </w:r>
    </w:p>
    <w:p>
      <w:pPr>
        <w:pStyle w:val="null3"/>
        <w:jc w:val="left"/>
      </w:pPr>
      <w:r>
        <w:rPr/>
        <w:t xml:space="preserve"> 联系电话： </w:t>
      </w:r>
      <w:r>
        <w:rPr/>
        <w:t>0591-87556117</w:t>
      </w:r>
    </w:p>
    <w:p>
      <w:pPr>
        <w:pStyle w:val="null3"/>
        <w:ind w:firstLine="480"/>
        <w:jc w:val="left"/>
        <w:outlineLvl w:val="2"/>
      </w:pPr>
      <w:r>
        <w:rPr>
          <w:sz w:val="28"/>
          <w:b/>
        </w:rPr>
        <w:t>14、代理机构</w:t>
      </w:r>
      <w:r>
        <w:rPr>
          <w:sz w:val="28"/>
          <w:b/>
        </w:rPr>
        <w:t>：</w:t>
      </w:r>
      <w:r>
        <w:rPr>
          <w:sz w:val="28"/>
          <w:b/>
        </w:rPr>
        <w:t>福建然诚项目管理有限公司</w:t>
      </w:r>
    </w:p>
    <w:p>
      <w:pPr>
        <w:pStyle w:val="null3"/>
        <w:ind w:firstLine="960"/>
        <w:jc w:val="left"/>
      </w:pPr>
      <w:r>
        <w:rPr/>
        <w:t xml:space="preserve"> 地址： </w:t>
      </w:r>
      <w:r>
        <w:rPr/>
        <w:t>福州市鼓楼区五凤街道屏西路13号（原铜盘路北侧）保利天悦花园（二区）（地块二）B3#19层10-11商务办公</w:t>
      </w:r>
    </w:p>
    <w:p>
      <w:pPr>
        <w:pStyle w:val="null3"/>
        <w:jc w:val="left"/>
      </w:pPr>
      <w:r>
        <w:rPr/>
        <w:t xml:space="preserve"> 邮编： </w:t>
      </w:r>
      <w:r>
        <w:rPr/>
        <w:t>350000</w:t>
      </w:r>
    </w:p>
    <w:p>
      <w:pPr>
        <w:pStyle w:val="null3"/>
        <w:jc w:val="left"/>
      </w:pPr>
      <w:r>
        <w:rPr/>
        <w:t xml:space="preserve"> 联系人： </w:t>
      </w:r>
      <w:r>
        <w:rPr/>
        <w:t>郑滨、江心恬、张玉莲</w:t>
      </w:r>
    </w:p>
    <w:p>
      <w:pPr>
        <w:pStyle w:val="null3"/>
        <w:jc w:val="left"/>
      </w:pPr>
      <w:r>
        <w:rPr/>
        <w:t xml:space="preserve"> 联系电话： </w:t>
      </w:r>
      <w:r>
        <w:rPr/>
        <w:t>18060727153、15860289898</w:t>
      </w:r>
    </w:p>
    <w:p>
      <w:pPr>
        <w:pStyle w:val="null3"/>
        <w:jc w:val="left"/>
        <w:outlineLvl w:val="2"/>
      </w:pPr>
      <w:r>
        <w:rPr>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福建然诚项目管理有限公司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sz w:val="36"/>
          <w:b/>
        </w:rPr>
        <w:t>第二章 竞争性磋商须知</w:t>
      </w:r>
    </w:p>
    <w:p>
      <w:pPr>
        <w:pStyle w:val="null3"/>
        <w:jc w:val="center"/>
        <w:outlineLvl w:val="2"/>
      </w:pPr>
      <w:r>
        <w:rPr>
          <w:sz w:val="28"/>
          <w:b/>
        </w:rPr>
        <w:t>第1节 竞争性磋商须知前附表（表1、表2）</w:t>
      </w:r>
    </w:p>
    <w:p>
      <w:pPr>
        <w:pStyle w:val="null3"/>
        <w:jc w:val="center"/>
        <w:outlineLvl w:val="3"/>
      </w:pPr>
      <w:r>
        <w:rPr>
          <w:sz w:val="24"/>
          <w:b/>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落实政府采购政策的证明材料（专门面向中小企业采购）</w:t>
                  </w:r>
                </w:p>
              </w:tc>
              <w:tc>
                <w:tcPr>
                  <w:tcW w:type="dxa" w:w="1418"/>
                </w:tcPr>
                <w:p>
                  <w:pPr>
                    <w:pStyle w:val="null3"/>
                    <w:jc w:val="left"/>
                  </w:pPr>
                  <w:r>
                    <w:rPr/>
                    <w:t>1、供应商提供的服务/货物应符合《政府采购促进中小企业发展管理办法》(财库〔2020〕46号) 第四条规定的情形，且应当提供《政府采购促进中小企业发展管理办法》(财库〔2020〕46号)规定的《中小企业声明函》，格式见采购文件相关附件。2、供应商为监狱企业的视同小型和微型企业，可不提供以上第1材料，但应当提供由省级以上监狱管理局、戒毒管理局(含新疆生产建设兵团)出具的属于监狱企业的证明文件。3、供应商为残疾人福利性单位的视同小型和微型企业，可不提供以上第1点材料，但应当提供《残疾人福利性单位声明函》，格式见第七章《投标文件格式》附件。4、本项目采购标的对应的中小企业划分标准所属行业为餐饮业。供应商须对应填写《中小企业声明函》(服务)模板；若供应商填写的《中小企业声明函》不是对应模板的或者提供的《中小企业声明函》中填写的行业与招标文件明确的采购标的对应的中小企业划分标准所属行业不一致，均不予认定为中小企业。</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1</w:t>
            </w:r>
            <w:r>
              <w:rPr/>
              <w:t xml:space="preserve"> 份：将上传至福建省政府采购网上公开信息系统的电子响应文件在可读介质中另存 </w:t>
            </w:r>
            <w:r>
              <w:rPr/>
              <w:t>1</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福州市鼓楼区财政局</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成交人应根据以下收费标准，向采购代理机构交纳招标代理服务费。(1)以成交通知书载明的成交金额作为收费的计算基数，按差额定率累进法计算，若招标代理服务收费低于3000元则按3000元包干计取。(2)招标代理服务收费的费率标准：成交金额100万元以下 （含）的按1.5%收取。（3）招标代理服务费收取方式：成交供应商在领取成交通知书前，以转账或汇款方式提交，请供应商报价时予以充分考虑。 代理服务费支付至以下账户： 开户名称：福建然诚项目管理有限公司 开户银行：中国建设银行股份有限公司福州华能支行 账 号：35050187390000000386</w:t>
            </w:r>
          </w:p>
          <w:p>
            <w:pPr>
              <w:pStyle w:val="null3"/>
              <w:jc w:val="left"/>
            </w:pPr>
            <w:r>
              <w:rPr/>
              <w:t xml:space="preserve"> (2)其他：</w:t>
            </w:r>
          </w:p>
          <w:p>
            <w:pPr>
              <w:pStyle w:val="null3"/>
              <w:jc w:val="left"/>
            </w:pPr>
            <w:r>
              <w:rPr/>
              <w:t>评审方法中若须要求提供相关人员社保证明材料，则按以下要求提供：①投标文件递交截止时间前（不含截止时间的当月）已依法缴纳社会保障资金的投供应商，提供投标文件递交截止时间前六个月（不含截止时间的当月）中任一月份的社会保险凭据复印件。②投标文件递交截止时间的当月成立且已依法缴纳社会保障资金的供应商，提供投标文件递交截止时间当月的社会保险凭据复印件。③投标文件递交截止时间的当月成立但因税务机关/社会保障资金管理机关原因而尚未依法缴纳社会保障资金的供应商，提供依法缴纳社会保障资金承诺书原件（格式自拟），该承诺书视同社会保险凭据。【供应商提供的相应证明材料复印件均应符合：内容完整、清晰、整洁，并由供应商加盖其单位公章。“依法缴纳社会保障资金证明材料”有欠缴记录的，视为未依法缴纳社会保障资金。】</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sz w:val="28"/>
          <w:b/>
        </w:rPr>
        <w:t>专项附件： 评审的标准和方法</w:t>
      </w:r>
    </w:p>
    <w:p>
      <w:pPr>
        <w:pStyle w:val="null3"/>
        <w:jc w:val="center"/>
        <w:outlineLvl w:val="2"/>
      </w:pPr>
      <w:r>
        <w:rPr>
          <w:sz w:val="28"/>
          <w:b/>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sz w:val="28"/>
          <w:b/>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sz w:val="28"/>
          <w:b/>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满分为15.0000分</w:t>
      </w:r>
    </w:p>
    <w:p>
      <w:pPr>
        <w:pStyle w:val="null3"/>
        <w:jc w:val="left"/>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t>技术部分评分PT 满分为64.0000分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1．响应情况</w:t>
            </w:r>
          </w:p>
        </w:tc>
        <w:tc>
          <w:tcPr>
            <w:tcW w:type="dxa" w:w="831"/>
          </w:tcPr>
          <w:p>
            <w:pPr>
              <w:pStyle w:val="null3"/>
              <w:jc w:val="right"/>
            </w:pPr>
            <w:r>
              <w:rPr/>
              <w:t>38.0000</w:t>
            </w:r>
          </w:p>
        </w:tc>
        <w:tc>
          <w:tcPr>
            <w:tcW w:type="dxa" w:w="4153"/>
          </w:tcPr>
          <w:p>
            <w:pPr>
              <w:pStyle w:val="null3"/>
              <w:jc w:val="left"/>
            </w:pPr>
            <w:r>
              <w:rPr/>
              <w:t>根据各供应商对竞争性磋商文件《第三章 采购内容及要求》中服务要求逐项响应情况由磋商小组进行评分，完全满足竞争性磋商文件要求的得满分38分；带有“★”的为实质性要求不允许出现负偏离（计2项），若出现负偏离按无效响应处理；带有“▲”标示的指标若负偏离一项扣2.9分（计2项，小计5.8分）。其余未带有“★”、“▲”标示的指标每负偏离一项扣1.4分（计23项，小计32.2分），正偏离不加分，扣完为止；（注：凡标有最低一级序号的指标项即为一项技术条款，无论是否隶属于上一级编号）</w:t>
            </w:r>
          </w:p>
        </w:tc>
      </w:tr>
      <w:tr>
        <w:tc>
          <w:tcPr>
            <w:tcW w:type="dxa" w:w="3322"/>
          </w:tcPr>
          <w:p>
            <w:pPr>
              <w:pStyle w:val="null3"/>
              <w:jc w:val="left"/>
            </w:pPr>
            <w:r>
              <w:rPr/>
              <w:t>2.配送方案</w:t>
            </w:r>
          </w:p>
        </w:tc>
        <w:tc>
          <w:tcPr>
            <w:tcW w:type="dxa" w:w="831"/>
          </w:tcPr>
          <w:p>
            <w:pPr>
              <w:pStyle w:val="null3"/>
              <w:jc w:val="right"/>
            </w:pPr>
            <w:r>
              <w:rPr/>
              <w:t>3.0000</w:t>
            </w:r>
          </w:p>
        </w:tc>
        <w:tc>
          <w:tcPr>
            <w:tcW w:type="dxa" w:w="4153"/>
          </w:tcPr>
          <w:p>
            <w:pPr>
              <w:pStyle w:val="null3"/>
              <w:jc w:val="left"/>
            </w:pPr>
            <w:r>
              <w:rPr/>
              <w:t>根据供应商针对本项目制定的配送方案（包含食品容器、食品运输车辆配送、服务人员、送餐时间要求等），由评委进行评分：方案包含的要点齐全无缺漏项、内容与要点相符、内容完善且能够适用于本项目的得3分；方案所包含的要点齐全、内容与要点相符，但仅有纲要内容简略，未展开阐述的得2.8分；方案所包含的要点有缺漏或内容存在错误的得2.5分，未提供的不得分。</w:t>
            </w:r>
          </w:p>
        </w:tc>
      </w:tr>
      <w:tr>
        <w:tc>
          <w:tcPr>
            <w:tcW w:type="dxa" w:w="3322"/>
          </w:tcPr>
          <w:p>
            <w:pPr>
              <w:pStyle w:val="null3"/>
              <w:jc w:val="left"/>
            </w:pPr>
            <w:r>
              <w:rPr/>
              <w:t>3.原材料质量保证措施</w:t>
            </w:r>
          </w:p>
        </w:tc>
        <w:tc>
          <w:tcPr>
            <w:tcW w:type="dxa" w:w="831"/>
          </w:tcPr>
          <w:p>
            <w:pPr>
              <w:pStyle w:val="null3"/>
              <w:jc w:val="right"/>
            </w:pPr>
            <w:r>
              <w:rPr/>
              <w:t>3.0000</w:t>
            </w:r>
          </w:p>
        </w:tc>
        <w:tc>
          <w:tcPr>
            <w:tcW w:type="dxa" w:w="4153"/>
          </w:tcPr>
          <w:p>
            <w:pPr>
              <w:pStyle w:val="null3"/>
              <w:jc w:val="left"/>
            </w:pPr>
            <w:r>
              <w:rPr/>
              <w:t>根据供应商针对本项目提供的食品原材料安全保障措施（包含食品采购制度、原辅料来源和验收流程及标准），由评委进行评分：方案包含的要点齐全无缺漏项、内容与要点相符、内容完善且能够适用于本项目的得3分；方案所包含的要点齐全、内容与要点相符，但仅有纲要内容简略，未展开阐述的得2.8分；方案所包含的要点有缺漏或内容存在错误的得2.5分，未提供的不得分。</w:t>
            </w:r>
          </w:p>
        </w:tc>
      </w:tr>
      <w:tr>
        <w:tc>
          <w:tcPr>
            <w:tcW w:type="dxa" w:w="3322"/>
          </w:tcPr>
          <w:p>
            <w:pPr>
              <w:pStyle w:val="null3"/>
              <w:jc w:val="left"/>
            </w:pPr>
            <w:r>
              <w:rPr/>
              <w:t>4.食品安全保证措施</w:t>
            </w:r>
          </w:p>
        </w:tc>
        <w:tc>
          <w:tcPr>
            <w:tcW w:type="dxa" w:w="831"/>
          </w:tcPr>
          <w:p>
            <w:pPr>
              <w:pStyle w:val="null3"/>
              <w:jc w:val="right"/>
            </w:pPr>
            <w:r>
              <w:rPr/>
              <w:t>3.0000</w:t>
            </w:r>
          </w:p>
        </w:tc>
        <w:tc>
          <w:tcPr>
            <w:tcW w:type="dxa" w:w="4153"/>
          </w:tcPr>
          <w:p>
            <w:pPr>
              <w:pStyle w:val="null3"/>
              <w:jc w:val="left"/>
            </w:pPr>
            <w:r>
              <w:rPr/>
              <w:t>根据供应商针对本项目提供的保证食品安全采取的保障措施（生产过程控制、出品标准及检验制度、留样管理制度等），由评委进行评分：方案包含的要点齐全无缺漏项、内容与要点相符、内容完善且能够适用于本项目的得3分；方案所包含的要点齐全、内容与要点相符，但仅有纲要内容简略，未展开阐述的得2.8分；方案所包含的要点有缺漏或内容存在错误的得2.5分，未提供的不得分。</w:t>
            </w:r>
          </w:p>
        </w:tc>
      </w:tr>
      <w:tr>
        <w:tc>
          <w:tcPr>
            <w:tcW w:type="dxa" w:w="3322"/>
          </w:tcPr>
          <w:p>
            <w:pPr>
              <w:pStyle w:val="null3"/>
              <w:jc w:val="left"/>
            </w:pPr>
            <w:r>
              <w:rPr/>
              <w:t>5. 卫生保障制度</w:t>
            </w:r>
          </w:p>
        </w:tc>
        <w:tc>
          <w:tcPr>
            <w:tcW w:type="dxa" w:w="831"/>
          </w:tcPr>
          <w:p>
            <w:pPr>
              <w:pStyle w:val="null3"/>
              <w:jc w:val="right"/>
            </w:pPr>
            <w:r>
              <w:rPr/>
              <w:t>3.0000</w:t>
            </w:r>
          </w:p>
        </w:tc>
        <w:tc>
          <w:tcPr>
            <w:tcW w:type="dxa" w:w="4153"/>
          </w:tcPr>
          <w:p>
            <w:pPr>
              <w:pStyle w:val="null3"/>
              <w:jc w:val="left"/>
            </w:pPr>
            <w:r>
              <w:rPr/>
              <w:t>根据供应商针对本项目提供的食品卫生保障制度（包含生产设备、餐器具清洗消毒制度及程序，食品包装物卫生管控，配送车辆清洗消毒程序等），由评委进行评分：方案包含的要点齐全无缺漏项、内容与要点相符、内容完善且能够适用于本项目的得3分；方案所包含的要点齐全、内容与要点相符，但仅有纲要内容简略，未展开阐述的得2.8分；方案所包含的要点有缺漏或内容存在错误的得2.5分，未提供的不得分。</w:t>
            </w:r>
          </w:p>
        </w:tc>
      </w:tr>
      <w:tr>
        <w:tc>
          <w:tcPr>
            <w:tcW w:type="dxa" w:w="3322"/>
          </w:tcPr>
          <w:p>
            <w:pPr>
              <w:pStyle w:val="null3"/>
              <w:jc w:val="left"/>
            </w:pPr>
            <w:r>
              <w:rPr/>
              <w:t>6.菜品安排方案</w:t>
            </w:r>
          </w:p>
        </w:tc>
        <w:tc>
          <w:tcPr>
            <w:tcW w:type="dxa" w:w="831"/>
          </w:tcPr>
          <w:p>
            <w:pPr>
              <w:pStyle w:val="null3"/>
              <w:jc w:val="right"/>
            </w:pPr>
            <w:r>
              <w:rPr/>
              <w:t>3.0000</w:t>
            </w:r>
          </w:p>
        </w:tc>
        <w:tc>
          <w:tcPr>
            <w:tcW w:type="dxa" w:w="4153"/>
          </w:tcPr>
          <w:p>
            <w:pPr>
              <w:pStyle w:val="null3"/>
              <w:jc w:val="left"/>
            </w:pPr>
            <w:r>
              <w:rPr/>
              <w:t>根据供应商针对本项目提供菜品安排方案（包含搭配具体种类、安排周期等）并承诺提供营养均衡餐食，不使用转基因原食材，菜品营养搭配、丰富特色多样，两周内菜单不重复（蔬菜类除外），由评委进行评分：方案包含的要点齐全无缺漏项、内容与要点相符、内容完善且能够适用于本项目的得3分；方案所包含的要点齐全、内容与要点相符，但仅有纲要内容简略，未展开阐述的得2.8分；方案所包含的要点有缺漏或内容存在错误的得2.5分，未提供的不得分。</w:t>
            </w:r>
          </w:p>
        </w:tc>
      </w:tr>
      <w:tr>
        <w:tc>
          <w:tcPr>
            <w:tcW w:type="dxa" w:w="3322"/>
          </w:tcPr>
          <w:p>
            <w:pPr>
              <w:pStyle w:val="null3"/>
              <w:jc w:val="left"/>
            </w:pPr>
            <w:r>
              <w:rPr/>
              <w:t>7. 食品安全预案</w:t>
            </w:r>
          </w:p>
        </w:tc>
        <w:tc>
          <w:tcPr>
            <w:tcW w:type="dxa" w:w="831"/>
          </w:tcPr>
          <w:p>
            <w:pPr>
              <w:pStyle w:val="null3"/>
              <w:jc w:val="right"/>
            </w:pPr>
            <w:r>
              <w:rPr/>
              <w:t>3.0000</w:t>
            </w:r>
          </w:p>
        </w:tc>
        <w:tc>
          <w:tcPr>
            <w:tcW w:type="dxa" w:w="4153"/>
          </w:tcPr>
          <w:p>
            <w:pPr>
              <w:pStyle w:val="null3"/>
              <w:jc w:val="left"/>
            </w:pPr>
            <w:r>
              <w:rPr/>
              <w:t>根据供应商针对本项目制定切实可行的食品安全突发事故应急预案，由评委进行评分：方案包含的要点齐全无缺漏项、内容与要点相符、内容完善且能够适用于本项目的得3分；方案所包含的要点齐全、内容与要点相符，但仅有纲要内容简略，未展开阐述的得2.8分；方案所包含的要点有缺漏或内容存在错误的得2.5分，未提供的不得分。</w:t>
            </w:r>
          </w:p>
        </w:tc>
      </w:tr>
      <w:tr>
        <w:tc>
          <w:tcPr>
            <w:tcW w:type="dxa" w:w="3322"/>
          </w:tcPr>
          <w:p>
            <w:pPr>
              <w:pStyle w:val="null3"/>
              <w:jc w:val="left"/>
            </w:pPr>
            <w:r>
              <w:rPr/>
              <w:t>8. 保险</w:t>
            </w:r>
          </w:p>
        </w:tc>
        <w:tc>
          <w:tcPr>
            <w:tcW w:type="dxa" w:w="831"/>
          </w:tcPr>
          <w:p>
            <w:pPr>
              <w:pStyle w:val="null3"/>
              <w:jc w:val="right"/>
            </w:pPr>
            <w:r>
              <w:rPr/>
              <w:t>3.0000</w:t>
            </w:r>
          </w:p>
        </w:tc>
        <w:tc>
          <w:tcPr>
            <w:tcW w:type="dxa" w:w="4153"/>
          </w:tcPr>
          <w:p>
            <w:pPr>
              <w:pStyle w:val="null3"/>
              <w:jc w:val="left"/>
            </w:pPr>
            <w:r>
              <w:rPr/>
              <w:t>根据供应商针对本项目承诺中标后缴纳食品安全责任险情况进行评分：1000万元≤供应商缴纳食品安全责任险保险额＜2000万元得1分；2000万元≤供应商缴纳食品安全责任险保险额＜3000万元得2分；供应商缴纳食品安全责任险保险额≥3000万元得3分，年保额在1000万以下的不得分。须提供承诺函，承诺函格式自拟。未提供的不得分。</w:t>
            </w:r>
          </w:p>
        </w:tc>
      </w:tr>
      <w:tr>
        <w:tc>
          <w:tcPr>
            <w:tcW w:type="dxa" w:w="3322"/>
          </w:tcPr>
          <w:p>
            <w:pPr>
              <w:pStyle w:val="null3"/>
              <w:jc w:val="left"/>
            </w:pPr>
            <w:r>
              <w:rPr/>
              <w:t>9.检测报告</w:t>
            </w:r>
          </w:p>
        </w:tc>
        <w:tc>
          <w:tcPr>
            <w:tcW w:type="dxa" w:w="831"/>
          </w:tcPr>
          <w:p>
            <w:pPr>
              <w:pStyle w:val="null3"/>
              <w:jc w:val="right"/>
            </w:pPr>
            <w:r>
              <w:rPr/>
              <w:t>3.0000</w:t>
            </w:r>
          </w:p>
        </w:tc>
        <w:tc>
          <w:tcPr>
            <w:tcW w:type="dxa" w:w="4153"/>
          </w:tcPr>
          <w:p>
            <w:pPr>
              <w:pStyle w:val="null3"/>
              <w:jc w:val="left"/>
            </w:pPr>
            <w:r>
              <w:rPr/>
              <w:t>根据供应商提供热食（含：主食、荤菜、素菜、汤）产品的具有国家认可的检测机构出具的检测报告（报告上须有CMA标识），进行评分：每提供1份检测报告的得0.6分，满分3分。供应商须提供合格有效的检测报告复印件，未提供的不得分。</w:t>
            </w:r>
          </w:p>
        </w:tc>
      </w:tr>
      <w:tr>
        <w:tc>
          <w:tcPr>
            <w:tcW w:type="dxa" w:w="3322"/>
          </w:tcPr>
          <w:p>
            <w:pPr>
              <w:pStyle w:val="null3"/>
              <w:jc w:val="left"/>
            </w:pPr>
            <w:r>
              <w:rPr/>
              <w:t>10. 配送车辆</w:t>
            </w:r>
          </w:p>
        </w:tc>
        <w:tc>
          <w:tcPr>
            <w:tcW w:type="dxa" w:w="831"/>
          </w:tcPr>
          <w:p>
            <w:pPr>
              <w:pStyle w:val="null3"/>
              <w:jc w:val="right"/>
            </w:pPr>
            <w:r>
              <w:rPr/>
              <w:t>2.0000</w:t>
            </w:r>
          </w:p>
        </w:tc>
        <w:tc>
          <w:tcPr>
            <w:tcW w:type="dxa" w:w="4153"/>
          </w:tcPr>
          <w:p>
            <w:pPr>
              <w:pStyle w:val="null3"/>
              <w:jc w:val="left"/>
            </w:pPr>
            <w:r>
              <w:rPr/>
              <w:t>供应商可为本项目配置专用配送车辆的得2分。 注：须同时提供车辆购置发票复印件（或有效期内的车辆租赁协议）、机动车登记证复印件、有效的行驶证复印件，否则不得分。</w:t>
            </w:r>
          </w:p>
        </w:tc>
      </w:tr>
    </w:tbl>
    <w:p>
      <w:pPr>
        <w:pStyle w:val="null3"/>
        <w:jc w:val="left"/>
      </w:pPr>
      <w:r>
        <w:rPr/>
        <w:t>商务部分评分PB 满分为21.0000分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1.业绩</w:t>
            </w:r>
          </w:p>
        </w:tc>
        <w:tc>
          <w:tcPr>
            <w:tcW w:type="dxa" w:w="831"/>
          </w:tcPr>
          <w:p>
            <w:pPr>
              <w:pStyle w:val="null3"/>
              <w:jc w:val="right"/>
            </w:pPr>
            <w:r>
              <w:rPr/>
              <w:t>3.0000</w:t>
            </w:r>
          </w:p>
        </w:tc>
        <w:tc>
          <w:tcPr>
            <w:tcW w:type="dxa" w:w="4153"/>
          </w:tcPr>
          <w:p>
            <w:pPr>
              <w:pStyle w:val="null3"/>
              <w:jc w:val="left"/>
            </w:pPr>
            <w:r>
              <w:rPr/>
              <w:t>根据供应商提供自2020年1月1日至本项目投标截止时间止（时间以合同签订时间为准），供应商所完成的餐饮配送或食堂经营类进行评分：每提供一份同类项目业绩的得1分，满分3分。供应商须提供该业绩项目的中标公告（提供相关网站中标公告的下载网页并注明网址）、中标通知书复印件、采购合同文本复印件，以及能够证明该业绩项目已经采购人验收合格的相关证明文件复印件，所有材料缺一不可，否则不得分。</w:t>
            </w:r>
          </w:p>
        </w:tc>
      </w:tr>
      <w:tr>
        <w:tc>
          <w:tcPr>
            <w:tcW w:type="dxa" w:w="3322"/>
          </w:tcPr>
          <w:p>
            <w:pPr>
              <w:pStyle w:val="null3"/>
              <w:jc w:val="left"/>
            </w:pPr>
            <w:r>
              <w:rPr/>
              <w:t>2.履约情况</w:t>
            </w:r>
          </w:p>
        </w:tc>
        <w:tc>
          <w:tcPr>
            <w:tcW w:type="dxa" w:w="831"/>
          </w:tcPr>
          <w:p>
            <w:pPr>
              <w:pStyle w:val="null3"/>
              <w:jc w:val="right"/>
            </w:pPr>
            <w:r>
              <w:rPr/>
              <w:t>3.0000</w:t>
            </w:r>
          </w:p>
        </w:tc>
        <w:tc>
          <w:tcPr>
            <w:tcW w:type="dxa" w:w="4153"/>
          </w:tcPr>
          <w:p>
            <w:pPr>
              <w:pStyle w:val="null3"/>
              <w:jc w:val="left"/>
            </w:pPr>
            <w:r>
              <w:rPr/>
              <w:t>供应商提供自2020年1月1日起至本项目投标截止时间止（以评价日期为准），由业主单位对供应商提供的餐饮配送或食堂经营类项目履约情况，每提供一份评为优秀（评价为“好”、“优秀”、“90分以上”等类似表述均可)的得1分，满分3分，未提供的不得分。（须提供由业主单位出具的履约情况意见证明材料和采购合同复印件，未提供齐全的不得分。）（本项与业绩不重复得分）</w:t>
            </w:r>
          </w:p>
        </w:tc>
      </w:tr>
      <w:tr>
        <w:tc>
          <w:tcPr>
            <w:tcW w:type="dxa" w:w="3322"/>
          </w:tcPr>
          <w:p>
            <w:pPr>
              <w:pStyle w:val="null3"/>
              <w:jc w:val="left"/>
            </w:pPr>
            <w:r>
              <w:rPr/>
              <w:t>3.综合实力</w:t>
            </w:r>
          </w:p>
        </w:tc>
        <w:tc>
          <w:tcPr>
            <w:tcW w:type="dxa" w:w="831"/>
          </w:tcPr>
          <w:p>
            <w:pPr>
              <w:pStyle w:val="null3"/>
              <w:jc w:val="right"/>
            </w:pPr>
            <w:r>
              <w:rPr/>
              <w:t>3.0000</w:t>
            </w:r>
          </w:p>
        </w:tc>
        <w:tc>
          <w:tcPr>
            <w:tcW w:type="dxa" w:w="4153"/>
          </w:tcPr>
          <w:p>
            <w:pPr>
              <w:pStyle w:val="null3"/>
              <w:jc w:val="left"/>
            </w:pPr>
            <w:r>
              <w:rPr/>
              <w:t>供应商具有有效期内的ISO9001质量管理体系认证、ISO45001职业健康安全管理体系认证、ISO14001环境管理体系认证的，以上三项每提供1项的得1分，满分3分。供应商须提供相关证书复印件，未提供的不得分。</w:t>
            </w:r>
          </w:p>
        </w:tc>
      </w:tr>
      <w:tr>
        <w:tc>
          <w:tcPr>
            <w:tcW w:type="dxa" w:w="3322"/>
          </w:tcPr>
          <w:p>
            <w:pPr>
              <w:pStyle w:val="null3"/>
              <w:jc w:val="left"/>
            </w:pPr>
            <w:r>
              <w:rPr/>
              <w:t>3.综合实力</w:t>
            </w:r>
          </w:p>
        </w:tc>
        <w:tc>
          <w:tcPr>
            <w:tcW w:type="dxa" w:w="831"/>
          </w:tcPr>
          <w:p>
            <w:pPr>
              <w:pStyle w:val="null3"/>
              <w:jc w:val="right"/>
            </w:pPr>
            <w:r>
              <w:rPr/>
              <w:t>2.0000</w:t>
            </w:r>
          </w:p>
        </w:tc>
        <w:tc>
          <w:tcPr>
            <w:tcW w:type="dxa" w:w="4153"/>
          </w:tcPr>
          <w:p>
            <w:pPr>
              <w:pStyle w:val="null3"/>
              <w:jc w:val="left"/>
            </w:pPr>
            <w:r>
              <w:rPr/>
              <w:t>供应商具有有效期内的ISO22000食品安全管理体系认证的得1分，具有有效期内的HACCP危害分析与关键控制点体系认证的得1分，满分2分。供应商须提供相关证书复印件，未提供的不得分。</w:t>
            </w:r>
          </w:p>
        </w:tc>
      </w:tr>
      <w:tr>
        <w:tc>
          <w:tcPr>
            <w:tcW w:type="dxa" w:w="3322"/>
          </w:tcPr>
          <w:p>
            <w:pPr>
              <w:pStyle w:val="null3"/>
              <w:jc w:val="left"/>
            </w:pPr>
            <w:r>
              <w:rPr/>
              <w:t>4.项目团队1</w:t>
            </w:r>
          </w:p>
        </w:tc>
        <w:tc>
          <w:tcPr>
            <w:tcW w:type="dxa" w:w="831"/>
          </w:tcPr>
          <w:p>
            <w:pPr>
              <w:pStyle w:val="null3"/>
              <w:jc w:val="right"/>
            </w:pPr>
            <w:r>
              <w:rPr/>
              <w:t>3.0000</w:t>
            </w:r>
          </w:p>
        </w:tc>
        <w:tc>
          <w:tcPr>
            <w:tcW w:type="dxa" w:w="4153"/>
          </w:tcPr>
          <w:p>
            <w:pPr>
              <w:pStyle w:val="null3"/>
              <w:jc w:val="left"/>
            </w:pPr>
            <w:r>
              <w:rPr/>
              <w:t>根据供应商为本项目配置的厨师人数情况进行评分：每提供1位高级及以上厨师的得1.5分，满分3分。供应商须提供以下证明材料：①以上人员证书复印件；②本项目公告时间前（不含投标当月）六个月内任意一个月供应商单位为其缴纳的社保证明材料复印件。未提供或证明材料提供不全的不得分。（不同评分项的同一人员不得重复得分）</w:t>
            </w:r>
          </w:p>
        </w:tc>
      </w:tr>
      <w:tr>
        <w:tc>
          <w:tcPr>
            <w:tcW w:type="dxa" w:w="3322"/>
          </w:tcPr>
          <w:p>
            <w:pPr>
              <w:pStyle w:val="null3"/>
              <w:jc w:val="left"/>
            </w:pPr>
            <w:r>
              <w:rPr/>
              <w:t>4.项目团队2</w:t>
            </w:r>
          </w:p>
        </w:tc>
        <w:tc>
          <w:tcPr>
            <w:tcW w:type="dxa" w:w="831"/>
          </w:tcPr>
          <w:p>
            <w:pPr>
              <w:pStyle w:val="null3"/>
              <w:jc w:val="right"/>
            </w:pPr>
            <w:r>
              <w:rPr/>
              <w:t>2.0000</w:t>
            </w:r>
          </w:p>
        </w:tc>
        <w:tc>
          <w:tcPr>
            <w:tcW w:type="dxa" w:w="4153"/>
          </w:tcPr>
          <w:p>
            <w:pPr>
              <w:pStyle w:val="null3"/>
              <w:jc w:val="left"/>
            </w:pPr>
            <w:r>
              <w:rPr/>
              <w:t>供应商为本项目配置的公共营养师人数情况进行评分：每提供1位得1分，满分2分。供应商须提供相关证书复印件及本项目公告时间前（不含投标当月）六个月内任意一个月供应商单位为其缴纳的社保证明材料复印件。未提供或证明材料提供不全的不得分。（不同评分项的同一人员不得重复得分）</w:t>
            </w:r>
          </w:p>
        </w:tc>
      </w:tr>
      <w:tr>
        <w:tc>
          <w:tcPr>
            <w:tcW w:type="dxa" w:w="3322"/>
          </w:tcPr>
          <w:p>
            <w:pPr>
              <w:pStyle w:val="null3"/>
              <w:jc w:val="left"/>
            </w:pPr>
            <w:r>
              <w:rPr/>
              <w:t>4.项目团队3</w:t>
            </w:r>
          </w:p>
        </w:tc>
        <w:tc>
          <w:tcPr>
            <w:tcW w:type="dxa" w:w="831"/>
          </w:tcPr>
          <w:p>
            <w:pPr>
              <w:pStyle w:val="null3"/>
              <w:jc w:val="right"/>
            </w:pPr>
            <w:r>
              <w:rPr/>
              <w:t>2.0000</w:t>
            </w:r>
          </w:p>
        </w:tc>
        <w:tc>
          <w:tcPr>
            <w:tcW w:type="dxa" w:w="4153"/>
          </w:tcPr>
          <w:p>
            <w:pPr>
              <w:pStyle w:val="null3"/>
              <w:jc w:val="left"/>
            </w:pPr>
            <w:r>
              <w:rPr/>
              <w:t>根据供应商为本项目配置的食品安全检验员人数情况进行评分：每提供1位得1分，满分2分。供应商须提供相关证书复印件及本项目公告时间前（不含投标当月）六个月内任意一个月供应商单位为其缴纳的社保证明材料复印件。未提供或证明材料提供不全的不得分。（不同评分项的同一人员不得重复得分）</w:t>
            </w:r>
          </w:p>
        </w:tc>
      </w:tr>
      <w:tr>
        <w:tc>
          <w:tcPr>
            <w:tcW w:type="dxa" w:w="3322"/>
          </w:tcPr>
          <w:p>
            <w:pPr>
              <w:pStyle w:val="null3"/>
              <w:jc w:val="left"/>
            </w:pPr>
            <w:r>
              <w:rPr/>
              <w:t>5.服务承诺函</w:t>
            </w:r>
          </w:p>
        </w:tc>
        <w:tc>
          <w:tcPr>
            <w:tcW w:type="dxa" w:w="831"/>
          </w:tcPr>
          <w:p>
            <w:pPr>
              <w:pStyle w:val="null3"/>
              <w:jc w:val="right"/>
            </w:pPr>
            <w:r>
              <w:rPr/>
              <w:t>3.0000</w:t>
            </w:r>
          </w:p>
        </w:tc>
        <w:tc>
          <w:tcPr>
            <w:tcW w:type="dxa" w:w="4153"/>
          </w:tcPr>
          <w:p>
            <w:pPr>
              <w:pStyle w:val="null3"/>
              <w:jc w:val="left"/>
            </w:pPr>
            <w:r>
              <w:rPr/>
              <w:t>供应商需承诺若采购人有紧急供餐需求时，无论是否为节假日供应商均可准点准时提供配餐或供餐服务的得3分。（须提供承诺函，承诺函格式自拟，未提供不得分）</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sz w:val="28"/>
          <w:b/>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sz w:val="28"/>
          <w:b/>
        </w:rPr>
        <w:t>第2节 竞争性磋商须知</w:t>
      </w:r>
    </w:p>
    <w:p>
      <w:pPr>
        <w:pStyle w:val="null3"/>
        <w:jc w:val="center"/>
        <w:outlineLvl w:val="2"/>
      </w:pPr>
      <w:r>
        <w:rPr>
          <w:sz w:val="28"/>
          <w:b/>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sz w:val="28"/>
          <w:b/>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sz w:val="28"/>
          <w:b/>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sz w:val="28"/>
          <w:b/>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1、未按照磋商文件规定要求签署、盖章的； 2、不符合磋商文件中规定的实质性要求和条件； 3、属于磋商文件中规定的无效投标条款的情形； 4、属于磋商文件规定的符合性检查不合格情形； 5、属于磋商文件规定评标委员会应否决其投标的情形； 6、若供应商的技术部分实际得分少于磋商文件设定的技术部分总分50%，即视为技术部分未实质性响应磋商文件要求，按无效标处理。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1、未按照磋商文件规定要求签署、盖章的； 2、响应文件载明的招标项目交付时间超过磋商文件规定或未载明招标项目交付时间的； 3、属于磋商文件规定的符合性检查不合格情形； 4、不符合磋商文件中规定的实质性要求和条件； 5、属于磋商文件中规定的无效投标条款的情形； 6、属于磋商文件规定评标委员会应否决其投标的情形； 7、磋商文件第三章“三、商务条件”中内容出负偏离的，按无效投标处理。</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报价未按照预算金额648000元进行报价的，视为无效投标响应，否决其投标响应文件。</w:t>
            </w:r>
          </w:p>
        </w:tc>
      </w:tr>
    </w:tbl>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sz w:val="28"/>
          <w:b/>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left"/>
        <w:outlineLvl w:val="2"/>
      </w:pPr>
      <w:r>
        <w:rPr>
          <w:sz w:val="28"/>
          <w:b/>
        </w:rPr>
        <w:t>一、（根据本项目实际情况，填写“采购标的”或“项目概况”）</w:t>
      </w:r>
    </w:p>
    <w:p>
      <w:pPr>
        <w:pStyle w:val="null3"/>
        <w:jc w:val="left"/>
      </w:pPr>
      <w:r>
        <w:rPr>
          <w:rFonts w:ascii="宋体" w:hAnsi="宋体" w:cs="宋体" w:eastAsia="宋体"/>
          <w:sz w:val="24"/>
          <w:shd w:fill="FFFFFF" w:val="clear"/>
        </w:rPr>
        <w:t>1、采购项目名称：鼓楼区巡察驻点餐饮服务项目。</w:t>
      </w:r>
    </w:p>
    <w:p>
      <w:pPr>
        <w:pStyle w:val="null3"/>
        <w:ind w:firstLine="480"/>
        <w:jc w:val="left"/>
      </w:pPr>
      <w:r>
        <w:rPr>
          <w:rFonts w:ascii="宋体" w:hAnsi="宋体" w:cs="宋体" w:eastAsia="宋体"/>
          <w:sz w:val="24"/>
          <w:shd w:fill="FFFFFF" w:val="clear"/>
        </w:rPr>
        <w:t>2、本项目预算采购金额为648000元。</w:t>
      </w:r>
      <w:r>
        <w:rPr>
          <w:rFonts w:ascii="宋体" w:hAnsi="宋体" w:cs="宋体" w:eastAsia="宋体"/>
          <w:sz w:val="24"/>
          <w:shd w:fill="FFFFFF" w:val="clear"/>
        </w:rPr>
        <w:t>供应商必须统一按预算金额</w:t>
      </w:r>
      <w:r>
        <w:rPr>
          <w:rFonts w:ascii="宋体" w:hAnsi="宋体" w:cs="宋体" w:eastAsia="宋体"/>
          <w:sz w:val="24"/>
          <w:shd w:fill="FFFFFF" w:val="clear"/>
        </w:rPr>
        <w:t>648000元进行固定报价，未按照进行报价的供应商视为未响应本项目实质性要求，否决其投标响应。</w:t>
      </w:r>
    </w:p>
    <w:p>
      <w:pPr>
        <w:pStyle w:val="null3"/>
        <w:ind w:firstLine="480"/>
        <w:jc w:val="left"/>
      </w:pPr>
      <w:r>
        <w:rPr>
          <w:rFonts w:ascii="宋体" w:hAnsi="宋体" w:cs="宋体" w:eastAsia="宋体"/>
          <w:sz w:val="24"/>
          <w:shd w:fill="FFFFFF" w:val="clear"/>
        </w:rPr>
        <w:t>3、人数及清单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10"/>
        <w:gridCol w:w="845"/>
        <w:gridCol w:w="971"/>
        <w:gridCol w:w="1545"/>
        <w:gridCol w:w="971"/>
        <w:gridCol w:w="2963"/>
      </w:tblGrid>
      <w:tr>
        <w:tc>
          <w:tcPr>
            <w:tcW w:type="dxa" w:w="101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人</w:t>
            </w:r>
            <w:r>
              <w:rPr>
                <w:rFonts w:ascii="宋体" w:hAnsi="宋体" w:cs="宋体" w:eastAsia="宋体"/>
                <w:sz w:val="24"/>
                <w:shd w:fill="FFFFFF" w:val="clear"/>
              </w:rPr>
              <w:t xml:space="preserve">  </w:t>
            </w:r>
            <w:r>
              <w:rPr>
                <w:rFonts w:ascii="宋体" w:hAnsi="宋体" w:cs="宋体" w:eastAsia="宋体"/>
                <w:sz w:val="24"/>
                <w:shd w:fill="FFFFFF" w:val="clear"/>
              </w:rPr>
              <w:t>员</w:t>
            </w:r>
          </w:p>
        </w:tc>
        <w:tc>
          <w:tcPr>
            <w:tcW w:type="dxa" w:w="84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数量</w:t>
            </w:r>
          </w:p>
        </w:tc>
        <w:tc>
          <w:tcPr>
            <w:tcW w:type="dxa" w:w="97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标</w:t>
            </w:r>
            <w:r>
              <w:rPr>
                <w:rFonts w:ascii="宋体" w:hAnsi="宋体" w:cs="宋体" w:eastAsia="宋体"/>
                <w:sz w:val="24"/>
                <w:shd w:fill="FFFFFF" w:val="clear"/>
              </w:rPr>
              <w:t xml:space="preserve">  </w:t>
            </w:r>
            <w:r>
              <w:rPr>
                <w:rFonts w:ascii="宋体" w:hAnsi="宋体" w:cs="宋体" w:eastAsia="宋体"/>
                <w:sz w:val="24"/>
                <w:shd w:fill="FFFFFF" w:val="clear"/>
              </w:rPr>
              <w:t>准</w:t>
            </w:r>
          </w:p>
        </w:tc>
        <w:tc>
          <w:tcPr>
            <w:tcW w:type="dxa" w:w="154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时间</w:t>
            </w:r>
          </w:p>
        </w:tc>
        <w:tc>
          <w:tcPr>
            <w:tcW w:type="dxa" w:w="97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金</w:t>
            </w:r>
            <w:r>
              <w:rPr>
                <w:rFonts w:ascii="宋体" w:hAnsi="宋体" w:cs="宋体" w:eastAsia="宋体"/>
                <w:sz w:val="24"/>
                <w:shd w:fill="FFFFFF" w:val="clear"/>
              </w:rPr>
              <w:t xml:space="preserve">  </w:t>
            </w:r>
            <w:r>
              <w:rPr>
                <w:rFonts w:ascii="宋体" w:hAnsi="宋体" w:cs="宋体" w:eastAsia="宋体"/>
                <w:sz w:val="24"/>
                <w:shd w:fill="FFFFFF" w:val="clear"/>
              </w:rPr>
              <w:t>额</w:t>
            </w:r>
          </w:p>
        </w:tc>
        <w:tc>
          <w:tcPr>
            <w:tcW w:type="dxa" w:w="296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备</w:t>
            </w:r>
            <w:r>
              <w:rPr>
                <w:rFonts w:ascii="宋体" w:hAnsi="宋体" w:cs="宋体" w:eastAsia="宋体"/>
                <w:sz w:val="24"/>
                <w:shd w:fill="FFFFFF" w:val="clear"/>
              </w:rPr>
              <w:t xml:space="preserve">  </w:t>
            </w:r>
            <w:r>
              <w:rPr>
                <w:rFonts w:ascii="宋体" w:hAnsi="宋体" w:cs="宋体" w:eastAsia="宋体"/>
                <w:sz w:val="24"/>
                <w:shd w:fill="FFFFFF" w:val="clear"/>
              </w:rPr>
              <w:t>注</w:t>
            </w:r>
          </w:p>
        </w:tc>
      </w:tr>
      <w:tr>
        <w:tc>
          <w:tcPr>
            <w:tcW w:type="dxa" w:w="101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巡察人员</w:t>
            </w:r>
          </w:p>
        </w:tc>
        <w:tc>
          <w:tcPr>
            <w:tcW w:type="dxa" w:w="8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24</w:t>
            </w:r>
          </w:p>
        </w:tc>
        <w:tc>
          <w:tcPr>
            <w:tcW w:type="dxa" w:w="97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100 元/人、天</w:t>
            </w:r>
          </w:p>
        </w:tc>
        <w:tc>
          <w:tcPr>
            <w:tcW w:type="dxa" w:w="154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2024年10月11日至2025年12月31日</w:t>
            </w:r>
          </w:p>
        </w:tc>
        <w:tc>
          <w:tcPr>
            <w:tcW w:type="dxa" w:w="97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648000</w:t>
            </w:r>
          </w:p>
        </w:tc>
        <w:tc>
          <w:tcPr>
            <w:tcW w:type="dxa" w:w="296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shd w:fill="FFFFFF" w:val="clear"/>
              </w:rPr>
              <w:t>巡察人员、天数不固定，供餐前一日告知第二天就餐人数，费用按实际就餐人员、天数结算。</w:t>
            </w:r>
          </w:p>
        </w:tc>
      </w:tr>
    </w:tbl>
    <w:p>
      <w:pPr>
        <w:pStyle w:val="null3"/>
        <w:jc w:val="left"/>
        <w:outlineLvl w:val="2"/>
      </w:pPr>
      <w:r>
        <w:rPr>
          <w:sz w:val="28"/>
          <w:b/>
        </w:rPr>
        <w:t>二、技术要求</w:t>
      </w:r>
    </w:p>
    <w:p>
      <w:pPr>
        <w:pStyle w:val="null3"/>
        <w:jc w:val="left"/>
      </w:pPr>
      <w:r>
        <w:rPr>
          <w:rFonts w:ascii="宋体" w:hAnsi="宋体" w:cs="宋体" w:eastAsia="宋体"/>
          <w:sz w:val="24"/>
        </w:rPr>
        <w:t>(一）服务要求</w:t>
      </w:r>
    </w:p>
    <w:p>
      <w:pPr>
        <w:pStyle w:val="null3"/>
        <w:spacing w:after="150"/>
        <w:ind w:firstLine="480"/>
        <w:jc w:val="left"/>
      </w:pPr>
      <w:r>
        <w:rPr>
          <w:rFonts w:ascii="宋体" w:hAnsi="宋体" w:cs="宋体" w:eastAsia="宋体"/>
          <w:sz w:val="24"/>
          <w:b/>
        </w:rPr>
        <w:t>[评审项1]</w:t>
      </w:r>
      <w:r>
        <w:rPr>
          <w:rFonts w:ascii="宋体" w:hAnsi="宋体" w:cs="宋体" w:eastAsia="宋体"/>
          <w:sz w:val="24"/>
        </w:rPr>
        <w:t>1、食品卫生保障：需要提供相应原材料供应台账，粮油调味品及肉禽采购登记台账，供餐的加工区必须具备明厨亮灶，所提供的餐食必须有专用冰箱留样48小时。</w:t>
      </w:r>
    </w:p>
    <w:p>
      <w:pPr>
        <w:pStyle w:val="null3"/>
        <w:spacing w:after="150"/>
        <w:ind w:firstLine="480"/>
        <w:jc w:val="left"/>
      </w:pPr>
      <w:r>
        <w:rPr>
          <w:rFonts w:ascii="宋体" w:hAnsi="宋体" w:cs="宋体" w:eastAsia="宋体"/>
          <w:sz w:val="24"/>
          <w:b/>
        </w:rPr>
        <w:t>[评审项2]</w:t>
      </w:r>
      <w:r>
        <w:rPr>
          <w:rFonts w:ascii="宋体" w:hAnsi="宋体" w:cs="宋体" w:eastAsia="宋体"/>
          <w:sz w:val="24"/>
        </w:rPr>
        <w:t>2、服务质量保障：需要指定专人订餐及送餐统计协调联系人。采购人有权根据实际情况对餐饮标准进行调整，供应商需对照执行。供应商需提高以上全部服务但不仅限于以上服务。</w:t>
      </w:r>
    </w:p>
    <w:p>
      <w:pPr>
        <w:pStyle w:val="null3"/>
        <w:spacing w:after="150"/>
        <w:ind w:firstLine="480"/>
        <w:jc w:val="left"/>
      </w:pPr>
      <w:r>
        <w:rPr>
          <w:rFonts w:ascii="宋体" w:hAnsi="宋体" w:cs="宋体" w:eastAsia="宋体"/>
          <w:sz w:val="24"/>
        </w:rPr>
        <w:t>3、餐食多样性</w:t>
      </w:r>
    </w:p>
    <w:p>
      <w:pPr>
        <w:pStyle w:val="null3"/>
        <w:spacing w:after="150"/>
        <w:ind w:firstLine="480"/>
        <w:jc w:val="left"/>
      </w:pPr>
      <w:r>
        <w:rPr>
          <w:rFonts w:ascii="宋体" w:hAnsi="宋体" w:cs="宋体" w:eastAsia="宋体"/>
          <w:sz w:val="24"/>
        </w:rPr>
        <w:t>▲①供餐餐标准：早餐每人每餐（至少满足包子/面包/稀饭/小菜等+牛奶/豆浆+鸡蛋+饮品）；午餐晚餐每人每餐（至少满足四荤三素一汤一水果一酸奶/饮品），具体以采购人要求为准，供应商按此标准提供配餐品种及报价。菜品总量为：荤菜≥120g、素菜≥120g，米饭≥220g、汤≥200g。</w:t>
      </w:r>
    </w:p>
    <w:p>
      <w:pPr>
        <w:pStyle w:val="null3"/>
        <w:spacing w:after="150"/>
        <w:ind w:firstLine="480"/>
        <w:jc w:val="left"/>
      </w:pPr>
      <w:r>
        <w:rPr>
          <w:rFonts w:ascii="宋体" w:hAnsi="宋体" w:cs="宋体" w:eastAsia="宋体"/>
          <w:sz w:val="24"/>
        </w:rPr>
        <w:t>▲②有供餐需求时，需提供不低于5种套餐供采购人选择其中一种，并根据采购人要求进行制作。</w:t>
      </w:r>
    </w:p>
    <w:p>
      <w:pPr>
        <w:pStyle w:val="null3"/>
        <w:spacing w:after="150"/>
        <w:ind w:firstLine="480"/>
        <w:jc w:val="left"/>
      </w:pPr>
      <w:r>
        <w:rPr>
          <w:rFonts w:ascii="宋体" w:hAnsi="宋体" w:cs="宋体" w:eastAsia="宋体"/>
          <w:sz w:val="24"/>
          <w:b/>
        </w:rPr>
        <w:t>[评审项3]</w:t>
      </w:r>
      <w:r>
        <w:rPr>
          <w:rFonts w:ascii="宋体" w:hAnsi="宋体" w:cs="宋体" w:eastAsia="宋体"/>
          <w:sz w:val="24"/>
        </w:rPr>
        <w:t>③供应多餐时需要制定菜单：根据上述分类提供可选餐，要求做到营养均衡合理。</w:t>
      </w:r>
    </w:p>
    <w:p>
      <w:pPr>
        <w:pStyle w:val="null3"/>
        <w:spacing w:after="150"/>
        <w:ind w:firstLine="480"/>
        <w:jc w:val="left"/>
      </w:pPr>
      <w:r>
        <w:rPr>
          <w:rFonts w:ascii="宋体" w:hAnsi="宋体" w:cs="宋体" w:eastAsia="宋体"/>
          <w:sz w:val="24"/>
          <w:b/>
        </w:rPr>
        <w:t>[评审项4]</w:t>
      </w:r>
      <w:r>
        <w:rPr>
          <w:rFonts w:ascii="宋体" w:hAnsi="宋体" w:cs="宋体" w:eastAsia="宋体"/>
          <w:sz w:val="24"/>
        </w:rPr>
        <w:t>④在配送时需有专用的符合卫生要求的配送车辆进行配送，该车辆必须报备。</w:t>
      </w:r>
    </w:p>
    <w:p>
      <w:pPr>
        <w:pStyle w:val="null3"/>
        <w:spacing w:after="150"/>
        <w:ind w:firstLine="480"/>
        <w:jc w:val="left"/>
      </w:pPr>
      <w:r>
        <w:rPr>
          <w:rFonts w:ascii="宋体" w:hAnsi="宋体" w:cs="宋体" w:eastAsia="宋体"/>
          <w:sz w:val="24"/>
          <w:b/>
        </w:rPr>
        <w:t>[评审项5]</w:t>
      </w:r>
      <w:r>
        <w:rPr>
          <w:rFonts w:ascii="宋体" w:hAnsi="宋体" w:cs="宋体" w:eastAsia="宋体"/>
          <w:sz w:val="24"/>
        </w:rPr>
        <w:t>⑤提供主副食服务，并能为采购人临时性增加用餐任务提供送餐服务。</w:t>
      </w:r>
    </w:p>
    <w:p>
      <w:pPr>
        <w:pStyle w:val="null3"/>
        <w:spacing w:after="150"/>
        <w:ind w:firstLine="480"/>
        <w:jc w:val="left"/>
      </w:pPr>
      <w:r>
        <w:rPr>
          <w:rFonts w:ascii="宋体" w:hAnsi="宋体" w:cs="宋体" w:eastAsia="宋体"/>
          <w:sz w:val="24"/>
        </w:rPr>
        <w:t>4、食品制作及配送要求</w:t>
      </w:r>
    </w:p>
    <w:p>
      <w:pPr>
        <w:pStyle w:val="null3"/>
        <w:spacing w:after="150"/>
        <w:ind w:firstLine="480"/>
        <w:jc w:val="left"/>
      </w:pPr>
      <w:r>
        <w:rPr>
          <w:rFonts w:ascii="宋体" w:hAnsi="宋体" w:cs="宋体" w:eastAsia="宋体"/>
          <w:sz w:val="24"/>
          <w:b/>
        </w:rPr>
        <w:t>[评审项6]</w:t>
      </w:r>
      <w:r>
        <w:rPr>
          <w:rFonts w:ascii="宋体" w:hAnsi="宋体" w:cs="宋体" w:eastAsia="宋体"/>
          <w:sz w:val="24"/>
        </w:rPr>
        <w:t>①需按照食品法要求，设置单独的冰箱，按规定对食物进行留样。</w:t>
      </w:r>
    </w:p>
    <w:p>
      <w:pPr>
        <w:pStyle w:val="null3"/>
        <w:spacing w:after="150"/>
        <w:ind w:firstLine="480"/>
        <w:jc w:val="left"/>
      </w:pPr>
      <w:r>
        <w:rPr>
          <w:rFonts w:ascii="宋体" w:hAnsi="宋体" w:cs="宋体" w:eastAsia="宋体"/>
          <w:sz w:val="24"/>
          <w:b/>
        </w:rPr>
        <w:t>[评审项7]</w:t>
      </w:r>
      <w:r>
        <w:rPr>
          <w:rFonts w:ascii="宋体" w:hAnsi="宋体" w:cs="宋体" w:eastAsia="宋体"/>
          <w:sz w:val="24"/>
        </w:rPr>
        <w:t>②热菜供餐时保持温热，表面无风干及水浸现象。</w:t>
      </w:r>
    </w:p>
    <w:p>
      <w:pPr>
        <w:pStyle w:val="null3"/>
        <w:spacing w:after="150"/>
        <w:ind w:firstLine="480"/>
        <w:jc w:val="left"/>
      </w:pPr>
      <w:r>
        <w:rPr>
          <w:rFonts w:ascii="宋体" w:hAnsi="宋体" w:cs="宋体" w:eastAsia="宋体"/>
          <w:sz w:val="24"/>
          <w:b/>
        </w:rPr>
        <w:t>[评审项8]</w:t>
      </w:r>
      <w:r>
        <w:rPr>
          <w:rFonts w:ascii="宋体" w:hAnsi="宋体" w:cs="宋体" w:eastAsia="宋体"/>
          <w:sz w:val="24"/>
        </w:rPr>
        <w:t>③按规定准时配送，如变更或其他情况不能准时开餐，应提前通知采购人，并做出相应补救措施。</w:t>
      </w:r>
    </w:p>
    <w:p>
      <w:pPr>
        <w:pStyle w:val="null3"/>
        <w:spacing w:after="150"/>
        <w:ind w:firstLine="480"/>
        <w:jc w:val="left"/>
      </w:pPr>
      <w:r>
        <w:rPr>
          <w:rFonts w:ascii="宋体" w:hAnsi="宋体" w:cs="宋体" w:eastAsia="宋体"/>
          <w:sz w:val="24"/>
          <w:b/>
        </w:rPr>
        <w:t>[评审项9]</w:t>
      </w:r>
      <w:r>
        <w:rPr>
          <w:rFonts w:ascii="宋体" w:hAnsi="宋体" w:cs="宋体" w:eastAsia="宋体"/>
          <w:sz w:val="24"/>
        </w:rPr>
        <w:t>④法定节假日需要保证配餐服务。</w:t>
      </w:r>
    </w:p>
    <w:p>
      <w:pPr>
        <w:pStyle w:val="null3"/>
        <w:spacing w:after="150"/>
        <w:ind w:firstLine="480"/>
        <w:jc w:val="left"/>
      </w:pPr>
      <w:r>
        <w:rPr>
          <w:rFonts w:ascii="宋体" w:hAnsi="宋体" w:cs="宋体" w:eastAsia="宋体"/>
          <w:sz w:val="24"/>
          <w:b/>
        </w:rPr>
        <w:t>[评审项10]</w:t>
      </w:r>
      <w:r>
        <w:rPr>
          <w:rFonts w:ascii="宋体" w:hAnsi="宋体" w:cs="宋体" w:eastAsia="宋体"/>
          <w:sz w:val="24"/>
        </w:rPr>
        <w:t>⑤食品包装要求：供应商提供的餐点，餐盒应满足环保等要求，符合国家规定的覆膜式环保一次性餐盒或可回收消毒重复使用的餐盒，如果是回收餐盒应彻底清洗消毒。</w:t>
      </w:r>
    </w:p>
    <w:p>
      <w:pPr>
        <w:pStyle w:val="null3"/>
        <w:spacing w:after="150"/>
        <w:ind w:firstLine="480"/>
        <w:jc w:val="left"/>
      </w:pPr>
      <w:r>
        <w:rPr>
          <w:rFonts w:ascii="宋体" w:hAnsi="宋体" w:cs="宋体" w:eastAsia="宋体"/>
          <w:sz w:val="24"/>
          <w:b/>
        </w:rPr>
        <w:t>[评审项11]</w:t>
      </w:r>
      <w:r>
        <w:rPr>
          <w:rFonts w:ascii="宋体" w:hAnsi="宋体" w:cs="宋体" w:eastAsia="宋体"/>
          <w:sz w:val="24"/>
        </w:rPr>
        <w:t>⑥采购人可根据工作需要，提前24小时向供应商提出变更就餐时间、就餐人数的要求，供应商应积极配合，准时送餐，做到饭热菜香。</w:t>
      </w:r>
    </w:p>
    <w:p>
      <w:pPr>
        <w:pStyle w:val="null3"/>
        <w:spacing w:after="150"/>
        <w:ind w:firstLine="480"/>
        <w:jc w:val="left"/>
      </w:pPr>
      <w:r>
        <w:rPr>
          <w:rFonts w:ascii="宋体" w:hAnsi="宋体" w:cs="宋体" w:eastAsia="宋体"/>
          <w:sz w:val="24"/>
        </w:rPr>
        <w:t>5、用餐人数统计及领餐方式</w:t>
      </w:r>
    </w:p>
    <w:p>
      <w:pPr>
        <w:pStyle w:val="null3"/>
        <w:ind w:firstLine="465"/>
        <w:jc w:val="left"/>
      </w:pPr>
      <w:r>
        <w:rPr>
          <w:rFonts w:ascii="宋体" w:hAnsi="宋体" w:cs="宋体" w:eastAsia="宋体"/>
          <w:sz w:val="24"/>
          <w:b/>
        </w:rPr>
        <w:t>[评审项12]</w:t>
      </w:r>
      <w:r>
        <w:rPr>
          <w:rFonts w:ascii="宋体" w:hAnsi="宋体" w:cs="宋体" w:eastAsia="宋体"/>
          <w:sz w:val="24"/>
        </w:rPr>
        <w:t>①由采购人派专人提前</w:t>
      </w:r>
      <w:r>
        <w:rPr>
          <w:rFonts w:ascii="宋体" w:hAnsi="宋体" w:cs="宋体" w:eastAsia="宋体"/>
          <w:sz w:val="24"/>
        </w:rPr>
        <w:t>一</w:t>
      </w:r>
      <w:r>
        <w:rPr>
          <w:rFonts w:ascii="宋体" w:hAnsi="宋体" w:cs="宋体" w:eastAsia="宋体"/>
          <w:sz w:val="24"/>
        </w:rPr>
        <w:t>天登记用餐数量，</w:t>
      </w:r>
      <w:r>
        <w:rPr>
          <w:rFonts w:ascii="宋体" w:hAnsi="宋体" w:cs="宋体" w:eastAsia="宋体"/>
          <w:sz w:val="24"/>
          <w:shd w:fill="FFFFFF" w:val="clear"/>
        </w:rPr>
        <w:t>以用作供应商采购原材料准备依据。</w:t>
      </w:r>
    </w:p>
    <w:p>
      <w:pPr>
        <w:pStyle w:val="null3"/>
        <w:spacing w:after="150"/>
        <w:ind w:firstLine="480"/>
        <w:jc w:val="left"/>
      </w:pPr>
      <w:r>
        <w:rPr>
          <w:rFonts w:ascii="宋体" w:hAnsi="宋体" w:cs="宋体" w:eastAsia="宋体"/>
          <w:sz w:val="24"/>
          <w:b/>
        </w:rPr>
        <w:t>[评审项13]</w:t>
      </w:r>
      <w:r>
        <w:rPr>
          <w:rFonts w:ascii="宋体" w:hAnsi="宋体" w:cs="宋体" w:eastAsia="宋体"/>
          <w:sz w:val="24"/>
        </w:rPr>
        <w:t>②配合采购人负责分发领取当日配餐或副食品。</w:t>
      </w:r>
    </w:p>
    <w:p>
      <w:pPr>
        <w:pStyle w:val="null3"/>
        <w:spacing w:after="150"/>
        <w:ind w:firstLine="480"/>
        <w:jc w:val="left"/>
      </w:pPr>
      <w:r>
        <w:rPr>
          <w:rFonts w:ascii="宋体" w:hAnsi="宋体" w:cs="宋体" w:eastAsia="宋体"/>
          <w:sz w:val="24"/>
        </w:rPr>
        <w:t>6、服务与考评</w:t>
      </w:r>
    </w:p>
    <w:p>
      <w:pPr>
        <w:pStyle w:val="null3"/>
        <w:spacing w:after="150"/>
        <w:ind w:firstLine="480"/>
        <w:jc w:val="left"/>
      </w:pPr>
      <w:r>
        <w:rPr>
          <w:rFonts w:ascii="宋体" w:hAnsi="宋体" w:cs="宋体" w:eastAsia="宋体"/>
          <w:sz w:val="24"/>
          <w:b/>
        </w:rPr>
        <w:t>[评审项14]</w:t>
      </w:r>
      <w:r>
        <w:rPr>
          <w:rFonts w:ascii="宋体" w:hAnsi="宋体" w:cs="宋体" w:eastAsia="宋体"/>
          <w:sz w:val="24"/>
        </w:rPr>
        <w:t>①供应商工作人员要遵守餐饮法规，有良好的服务态度，保证配送食品使用符合卫生部门规定的包装盒，做到品种多样、价格合理、营养均衡、合理的营养餐搭配方案，严禁出售过期变质、变味食品，确保准时、准点配送。</w:t>
      </w:r>
    </w:p>
    <w:p>
      <w:pPr>
        <w:pStyle w:val="null3"/>
        <w:spacing w:after="150"/>
        <w:ind w:firstLine="480"/>
        <w:jc w:val="left"/>
      </w:pPr>
      <w:r>
        <w:rPr>
          <w:rFonts w:ascii="宋体" w:hAnsi="宋体" w:cs="宋体" w:eastAsia="宋体"/>
          <w:sz w:val="24"/>
          <w:b/>
        </w:rPr>
        <w:t>[评审项15]</w:t>
      </w:r>
      <w:r>
        <w:rPr>
          <w:rFonts w:ascii="宋体" w:hAnsi="宋体" w:cs="宋体" w:eastAsia="宋体"/>
          <w:sz w:val="24"/>
        </w:rPr>
        <w:t>②供应商必须遵守采购人单位的作息时间配送午餐食品，应采用专用保温箱配送，全程封条，保证餐食中心温度符合规定要求，不得以任何理由擅自停止配送。</w:t>
      </w:r>
    </w:p>
    <w:p>
      <w:pPr>
        <w:pStyle w:val="null3"/>
        <w:spacing w:after="150"/>
        <w:ind w:firstLine="480"/>
        <w:jc w:val="left"/>
      </w:pPr>
      <w:r>
        <w:rPr>
          <w:rFonts w:ascii="宋体" w:hAnsi="宋体" w:cs="宋体" w:eastAsia="宋体"/>
          <w:sz w:val="24"/>
          <w:b/>
        </w:rPr>
        <w:t>[评审项16]</w:t>
      </w:r>
      <w:r>
        <w:rPr>
          <w:rFonts w:ascii="宋体" w:hAnsi="宋体" w:cs="宋体" w:eastAsia="宋体"/>
          <w:sz w:val="24"/>
        </w:rPr>
        <w:t>③供应商各类相关证件齐全，必须接受采购人对配送食品的安全检查和采购人相关部门的监督考评，对检查发现的问题必须在当周内进行整改到位。</w:t>
      </w:r>
    </w:p>
    <w:p>
      <w:pPr>
        <w:pStyle w:val="null3"/>
        <w:spacing w:after="150"/>
        <w:ind w:firstLine="480"/>
        <w:jc w:val="left"/>
      </w:pPr>
      <w:r>
        <w:rPr>
          <w:rFonts w:ascii="宋体" w:hAnsi="宋体" w:cs="宋体" w:eastAsia="宋体"/>
          <w:sz w:val="24"/>
          <w:b/>
        </w:rPr>
        <w:t>[评审项17]</w:t>
      </w:r>
      <w:r>
        <w:rPr>
          <w:rFonts w:ascii="宋体" w:hAnsi="宋体" w:cs="宋体" w:eastAsia="宋体"/>
          <w:sz w:val="24"/>
        </w:rPr>
        <w:t>④为保障食品卫生安全，工作午餐配送应使用专用餐饮配送车辆，定时消毒，保证在生产过程中，从原料到成品的食品安全可追溯。垃圾回收服务，做好活动现场清洁工作。</w:t>
      </w:r>
    </w:p>
    <w:p>
      <w:pPr>
        <w:pStyle w:val="null3"/>
        <w:spacing w:after="150"/>
        <w:ind w:firstLine="480"/>
        <w:jc w:val="left"/>
      </w:pPr>
      <w:r>
        <w:rPr>
          <w:rFonts w:ascii="宋体" w:hAnsi="宋体" w:cs="宋体" w:eastAsia="宋体"/>
          <w:sz w:val="24"/>
          <w:b/>
        </w:rPr>
        <w:t>[评审项18]</w:t>
      </w:r>
      <w:r>
        <w:rPr>
          <w:rFonts w:ascii="宋体" w:hAnsi="宋体" w:cs="宋体" w:eastAsia="宋体"/>
          <w:sz w:val="24"/>
        </w:rPr>
        <w:t>6、所有参与食品制作与运送的工作人员，在上岗前必须通过体检，并持有饮食行业健康证，应符合市疫情防控应急指挥部对餐饮行业服务人员相关疫情防控要求。</w:t>
      </w:r>
    </w:p>
    <w:p>
      <w:pPr>
        <w:pStyle w:val="null3"/>
        <w:spacing w:after="150"/>
        <w:ind w:firstLine="480"/>
        <w:jc w:val="left"/>
      </w:pPr>
      <w:r>
        <w:rPr>
          <w:rFonts w:ascii="宋体" w:hAnsi="宋体" w:cs="宋体" w:eastAsia="宋体"/>
          <w:sz w:val="24"/>
          <w:b/>
        </w:rPr>
        <w:t>[评审项19]</w:t>
      </w:r>
      <w:r>
        <w:rPr>
          <w:rFonts w:ascii="宋体" w:hAnsi="宋体" w:cs="宋体" w:eastAsia="宋体"/>
          <w:sz w:val="24"/>
        </w:rPr>
        <w:t>7、供应商须为用餐人员提供“食品安全责任险”的投保。</w:t>
      </w:r>
    </w:p>
    <w:p>
      <w:pPr>
        <w:pStyle w:val="null3"/>
        <w:spacing w:after="150"/>
        <w:jc w:val="left"/>
      </w:pPr>
      <w:r>
        <w:rPr>
          <w:rFonts w:ascii="宋体" w:hAnsi="宋体" w:cs="宋体" w:eastAsia="宋体"/>
          <w:sz w:val="24"/>
        </w:rPr>
        <w:t>（二）食品安全责任</w:t>
      </w:r>
    </w:p>
    <w:p>
      <w:pPr>
        <w:pStyle w:val="null3"/>
        <w:spacing w:after="150"/>
        <w:jc w:val="left"/>
      </w:pPr>
      <w:r>
        <w:rPr/>
        <w:t xml:space="preserve">   </w:t>
      </w:r>
      <w:r>
        <w:rPr>
          <w:rFonts w:ascii="宋体" w:hAnsi="宋体" w:cs="宋体" w:eastAsia="宋体"/>
          <w:sz w:val="24"/>
          <w:b/>
        </w:rPr>
        <w:t>[评审项20]</w:t>
      </w:r>
      <w:r>
        <w:rPr>
          <w:rFonts w:ascii="宋体" w:hAnsi="宋体" w:cs="宋体" w:eastAsia="宋体"/>
          <w:sz w:val="24"/>
        </w:rPr>
        <w:t>1、供应商必须严格执行《食品安全法》和《餐饮卫生要求》等有关规定及要求，供应商要做好饮食卫生安全工作，严防食物中毒等安全事故的发生，如发生安全卫生事故或相关部门检查不合格，供应商须承担因此引起的一切经济和法律责任，发生较大安全和卫生事故的，采购人有权终止合同，供应商自行承担经济损失。</w:t>
      </w:r>
    </w:p>
    <w:p>
      <w:pPr>
        <w:pStyle w:val="null3"/>
        <w:spacing w:after="150"/>
        <w:ind w:firstLine="482"/>
        <w:jc w:val="left"/>
      </w:pPr>
      <w:r>
        <w:rPr>
          <w:rFonts w:ascii="宋体" w:hAnsi="宋体" w:cs="宋体" w:eastAsia="宋体"/>
          <w:sz w:val="24"/>
          <w:b/>
        </w:rPr>
        <w:t>[评审项21]</w:t>
      </w:r>
      <w:r>
        <w:rPr>
          <w:rFonts w:ascii="宋体" w:hAnsi="宋体" w:cs="宋体" w:eastAsia="宋体"/>
          <w:sz w:val="24"/>
        </w:rPr>
        <w:t>2、在食用供应商配送食品后，若发生食品安全事故的，经卫生防疫部门鉴定为食物变质引起的中毒事故（采购人未在标定的规定时间内食用餐品除外），供应商须承担鉴定费、医疗费及其他法律规定的相关责任。</w:t>
      </w:r>
    </w:p>
    <w:p>
      <w:pPr>
        <w:pStyle w:val="null3"/>
        <w:spacing w:after="150"/>
        <w:ind w:firstLine="480"/>
        <w:jc w:val="left"/>
      </w:pPr>
      <w:r>
        <w:rPr>
          <w:rFonts w:ascii="宋体" w:hAnsi="宋体" w:cs="宋体" w:eastAsia="宋体"/>
          <w:sz w:val="24"/>
          <w:b/>
        </w:rPr>
        <w:t>[评审项22]</w:t>
      </w:r>
      <w:r>
        <w:rPr>
          <w:rFonts w:ascii="宋体" w:hAnsi="宋体" w:cs="宋体" w:eastAsia="宋体"/>
          <w:sz w:val="24"/>
        </w:rPr>
        <w:t>3、供应商所采用食品用料的米、油、面、面粉、肉制品、半成品、冷冻品、调味品等大宗食品原料采购基地必须向采购人报备，并提供原料采购基地相关部门出具的经营许可等相关证明材料复印件，由采购人备查。</w:t>
      </w:r>
    </w:p>
    <w:p>
      <w:pPr>
        <w:pStyle w:val="null3"/>
        <w:spacing w:after="150"/>
        <w:ind w:firstLine="482"/>
        <w:jc w:val="left"/>
      </w:pPr>
      <w:r>
        <w:rPr>
          <w:rFonts w:ascii="宋体" w:hAnsi="宋体" w:cs="宋体" w:eastAsia="宋体"/>
          <w:sz w:val="24"/>
          <w:b/>
        </w:rPr>
        <w:t>[评审项23]</w:t>
      </w:r>
      <w:r>
        <w:rPr>
          <w:rFonts w:ascii="宋体" w:hAnsi="宋体" w:cs="宋体" w:eastAsia="宋体"/>
          <w:sz w:val="24"/>
        </w:rPr>
        <w:t>4、供应商需承诺成交后签订食品安全责任书（提供承诺函进行佐证，格式自拟）。</w:t>
      </w:r>
    </w:p>
    <w:p>
      <w:pPr>
        <w:pStyle w:val="null3"/>
        <w:jc w:val="both"/>
      </w:pPr>
      <w:r>
        <w:rPr>
          <w:rFonts w:ascii="宋体" w:hAnsi="宋体" w:cs="宋体" w:eastAsia="宋体"/>
          <w:sz w:val="24"/>
          <w:b/>
        </w:rPr>
        <w:t>★（三）报价要求：因本采购项目工作的特殊性，要求供应商必须统一按预算金额648000元进行固定报价，未按照进行报价的供应商视为未响应本项目实质性要求，否决其投标响应。</w:t>
      </w:r>
    </w:p>
    <w:p>
      <w:pPr>
        <w:pStyle w:val="null3"/>
        <w:jc w:val="left"/>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合同签订后在供餐期根据采购人需求提供服务</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1、期次1，说明：①需按照食品法要求，设置单独的冰箱，按规定对食物进行留样。 ②热菜供餐时保持温热，表面无风干及水浸现象。 ③按规定准时配送，如变更或其他情况不能准时开餐，应提前通知采购人，并做出相应补救措施。</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1、餐品按巡察批次（30日-50日）供餐结束后，由成交供应商出具等额增值税普通发票后，采购人在收到成交供应商完整请款材料及等额增值税普通发票后，达到付款条件起10日内，支付合同总金额的100.00%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sz w:val="24"/>
          <w:color w:val="000000"/>
        </w:rPr>
        <w:t>8、违约责任</w:t>
      </w:r>
    </w:p>
    <w:p>
      <w:pPr>
        <w:pStyle w:val="null3"/>
        <w:spacing w:before="90" w:after="90"/>
        <w:ind w:firstLine="420"/>
        <w:jc w:val="left"/>
      </w:pPr>
      <w:r>
        <w:rPr>
          <w:rFonts w:ascii="宋体" w:hAnsi="宋体" w:cs="宋体" w:eastAsia="宋体"/>
          <w:sz w:val="24"/>
          <w:color w:val="000000"/>
        </w:rPr>
        <w:t>①因</w:t>
      </w:r>
      <w:r>
        <w:rPr>
          <w:rFonts w:ascii="宋体" w:hAnsi="宋体" w:cs="宋体" w:eastAsia="宋体"/>
          <w:sz w:val="24"/>
          <w:color w:val="000000"/>
        </w:rPr>
        <w:t>供应商</w:t>
      </w:r>
      <w:r>
        <w:rPr>
          <w:rFonts w:ascii="宋体" w:hAnsi="宋体" w:cs="宋体" w:eastAsia="宋体"/>
          <w:sz w:val="24"/>
          <w:color w:val="000000"/>
        </w:rPr>
        <w:t>原因造成合同无法按时签订或者签订合同后不履行其投标承诺或者其他由于</w:t>
      </w:r>
      <w:r>
        <w:rPr>
          <w:rFonts w:ascii="宋体" w:hAnsi="宋体" w:cs="宋体" w:eastAsia="宋体"/>
          <w:sz w:val="24"/>
          <w:color w:val="000000"/>
        </w:rPr>
        <w:t>供应商</w:t>
      </w:r>
      <w:r>
        <w:rPr>
          <w:rFonts w:ascii="宋体" w:hAnsi="宋体" w:cs="宋体" w:eastAsia="宋体"/>
          <w:sz w:val="24"/>
          <w:color w:val="000000"/>
        </w:rPr>
        <w:t>自身原因造成无法履行合同的，均视为</w:t>
      </w:r>
      <w:r>
        <w:rPr>
          <w:rFonts w:ascii="宋体" w:hAnsi="宋体" w:cs="宋体" w:eastAsia="宋体"/>
          <w:sz w:val="24"/>
          <w:color w:val="000000"/>
        </w:rPr>
        <w:t>供应商</w:t>
      </w:r>
      <w:r>
        <w:rPr>
          <w:rFonts w:ascii="宋体" w:hAnsi="宋体" w:cs="宋体" w:eastAsia="宋体"/>
          <w:sz w:val="24"/>
          <w:color w:val="000000"/>
        </w:rPr>
        <w:t>违约；如果已经签订合同的则合同自动解除，且</w:t>
      </w:r>
      <w:r>
        <w:rPr>
          <w:rFonts w:ascii="宋体" w:hAnsi="宋体" w:cs="宋体" w:eastAsia="宋体"/>
          <w:sz w:val="24"/>
          <w:color w:val="000000"/>
        </w:rPr>
        <w:t>供应商</w:t>
      </w:r>
      <w:r>
        <w:rPr>
          <w:rFonts w:ascii="宋体" w:hAnsi="宋体" w:cs="宋体" w:eastAsia="宋体"/>
          <w:sz w:val="24"/>
          <w:color w:val="000000"/>
        </w:rPr>
        <w:t>还要承担相应的法律责任。给我单位造成损失的，还应另行赔偿我单位的损失。</w:t>
      </w:r>
    </w:p>
    <w:p>
      <w:pPr>
        <w:pStyle w:val="null3"/>
        <w:spacing w:before="90" w:after="90"/>
        <w:ind w:firstLine="420"/>
        <w:jc w:val="left"/>
      </w:pPr>
      <w:r>
        <w:rPr>
          <w:rFonts w:ascii="宋体" w:hAnsi="宋体" w:cs="宋体" w:eastAsia="宋体"/>
          <w:sz w:val="24"/>
          <w:color w:val="000000"/>
        </w:rPr>
        <w:t>②在签订合同之后，</w:t>
      </w:r>
      <w:r>
        <w:rPr>
          <w:rFonts w:ascii="宋体" w:hAnsi="宋体" w:cs="宋体" w:eastAsia="宋体"/>
          <w:sz w:val="24"/>
          <w:color w:val="000000"/>
        </w:rPr>
        <w:t>供应商</w:t>
      </w:r>
      <w:r>
        <w:rPr>
          <w:rFonts w:ascii="宋体" w:hAnsi="宋体" w:cs="宋体" w:eastAsia="宋体"/>
          <w:sz w:val="24"/>
          <w:color w:val="000000"/>
        </w:rPr>
        <w:t>要求解除合同的，视为</w:t>
      </w:r>
      <w:r>
        <w:rPr>
          <w:rFonts w:ascii="宋体" w:hAnsi="宋体" w:cs="宋体" w:eastAsia="宋体"/>
          <w:sz w:val="24"/>
          <w:color w:val="000000"/>
        </w:rPr>
        <w:t>供应商</w:t>
      </w:r>
      <w:r>
        <w:rPr>
          <w:rFonts w:ascii="宋体" w:hAnsi="宋体" w:cs="宋体" w:eastAsia="宋体"/>
          <w:sz w:val="24"/>
          <w:color w:val="000000"/>
        </w:rPr>
        <w:t>违约，对我单位造成损失的，</w:t>
      </w:r>
      <w:r>
        <w:rPr>
          <w:rFonts w:ascii="宋体" w:hAnsi="宋体" w:cs="宋体" w:eastAsia="宋体"/>
          <w:sz w:val="24"/>
          <w:color w:val="000000"/>
        </w:rPr>
        <w:t>供应商</w:t>
      </w:r>
      <w:r>
        <w:rPr>
          <w:rFonts w:ascii="宋体" w:hAnsi="宋体" w:cs="宋体" w:eastAsia="宋体"/>
          <w:sz w:val="24"/>
          <w:color w:val="000000"/>
        </w:rPr>
        <w:t>还应另行赔偿我馆的损失。</w:t>
      </w:r>
    </w:p>
    <w:p>
      <w:pPr>
        <w:pStyle w:val="null3"/>
        <w:spacing w:before="90" w:after="90"/>
        <w:ind w:firstLine="420"/>
        <w:jc w:val="left"/>
      </w:pPr>
      <w:r>
        <w:rPr>
          <w:rFonts w:ascii="宋体" w:hAnsi="宋体" w:cs="宋体" w:eastAsia="宋体"/>
          <w:sz w:val="24"/>
          <w:color w:val="000000"/>
        </w:rPr>
        <w:t>③因</w:t>
      </w:r>
      <w:r>
        <w:rPr>
          <w:rFonts w:ascii="宋体" w:hAnsi="宋体" w:cs="宋体" w:eastAsia="宋体"/>
          <w:sz w:val="24"/>
          <w:color w:val="000000"/>
        </w:rPr>
        <w:t>供应商</w:t>
      </w:r>
      <w:r>
        <w:rPr>
          <w:rFonts w:ascii="宋体" w:hAnsi="宋体" w:cs="宋体" w:eastAsia="宋体"/>
          <w:sz w:val="24"/>
          <w:color w:val="000000"/>
        </w:rPr>
        <w:t>原因发生重大质量事故，除依约承担赔偿责任外，还将按有关质量管理办法规定执行。同时，我单位有权保留更换</w:t>
      </w:r>
      <w:r>
        <w:rPr>
          <w:rFonts w:ascii="宋体" w:hAnsi="宋体" w:cs="宋体" w:eastAsia="宋体"/>
          <w:sz w:val="24"/>
          <w:color w:val="000000"/>
        </w:rPr>
        <w:t>供应商</w:t>
      </w:r>
      <w:r>
        <w:rPr>
          <w:rFonts w:ascii="宋体" w:hAnsi="宋体" w:cs="宋体" w:eastAsia="宋体"/>
          <w:sz w:val="24"/>
          <w:color w:val="000000"/>
        </w:rPr>
        <w:t>的权利，并报相关行政主管部门处罚。</w:t>
      </w:r>
    </w:p>
    <w:p>
      <w:pPr>
        <w:pStyle w:val="null3"/>
        <w:spacing w:before="90" w:after="90"/>
        <w:ind w:firstLine="420"/>
        <w:jc w:val="left"/>
      </w:pPr>
      <w:r>
        <w:rPr>
          <w:rFonts w:ascii="宋体" w:hAnsi="宋体" w:cs="宋体" w:eastAsia="宋体"/>
          <w:sz w:val="24"/>
          <w:color w:val="000000"/>
        </w:rPr>
        <w:t>④若发生安全事故，造成的损失，</w:t>
      </w:r>
      <w:r>
        <w:rPr>
          <w:rFonts w:ascii="宋体" w:hAnsi="宋体" w:cs="宋体" w:eastAsia="宋体"/>
          <w:sz w:val="24"/>
          <w:color w:val="000000"/>
        </w:rPr>
        <w:t>供应商</w:t>
      </w:r>
      <w:r>
        <w:rPr>
          <w:rFonts w:ascii="宋体" w:hAnsi="宋体" w:cs="宋体" w:eastAsia="宋体"/>
          <w:sz w:val="24"/>
          <w:color w:val="000000"/>
        </w:rPr>
        <w:t>还应承担赔偿责任。除按国家有关安全管理规定及采购人有关安全管理办法执行外，并报相关行政主管部门处罚；发生重大安全事故或特大安全事故，除按国家有关安全管理规定及采购人有关安全管理办法执行外，我单位有权终止合同，给我单位造成损失的，还应另行赔偿我单位的损失。</w:t>
      </w:r>
    </w:p>
    <w:p>
      <w:pPr>
        <w:pStyle w:val="null3"/>
        <w:jc w:val="both"/>
      </w:pPr>
      <w:r>
        <w:rPr>
          <w:rFonts w:ascii="宋体" w:hAnsi="宋体" w:cs="宋体" w:eastAsia="宋体"/>
          <w:sz w:val="24"/>
        </w:rPr>
        <w:t>⑤在明确违约责任后，</w:t>
      </w:r>
      <w:r>
        <w:rPr>
          <w:rFonts w:ascii="宋体" w:hAnsi="宋体" w:cs="宋体" w:eastAsia="宋体"/>
          <w:sz w:val="24"/>
        </w:rPr>
        <w:t>供应商</w:t>
      </w:r>
      <w:r>
        <w:rPr>
          <w:rFonts w:ascii="宋体" w:hAnsi="宋体" w:cs="宋体" w:eastAsia="宋体"/>
          <w:sz w:val="24"/>
        </w:rPr>
        <w:t>应在接到书面通知书起七天内支付违约金、赔偿金等。</w:t>
      </w:r>
    </w:p>
    <w:p>
      <w:pPr>
        <w:pStyle w:val="null3"/>
        <w:jc w:val="both"/>
      </w:pPr>
      <w:r>
        <w:rPr>
          <w:rFonts w:ascii="宋体" w:hAnsi="宋体" w:cs="宋体" w:eastAsia="宋体"/>
          <w:sz w:val="24"/>
          <w:b/>
          <w:color w:val="000000"/>
        </w:rPr>
        <w:t>9、信用承诺书</w:t>
      </w:r>
      <w:r>
        <w:rPr>
          <w:rFonts w:ascii="宋体" w:hAnsi="宋体" w:cs="宋体" w:eastAsia="宋体"/>
          <w:sz w:val="24"/>
          <w:color w:val="000000"/>
        </w:rPr>
        <w:t>（供应商须据实填写</w:t>
      </w:r>
      <w:r>
        <w:rPr>
          <w:rFonts w:ascii="宋体" w:hAnsi="宋体" w:cs="宋体" w:eastAsia="宋体"/>
          <w:sz w:val="24"/>
          <w:color w:val="000000"/>
        </w:rPr>
        <w:t>“福州市鼓楼区政府采购信用承诺书”，并在响应文件中提供</w:t>
      </w:r>
      <w:r>
        <w:rPr>
          <w:rFonts w:ascii="宋体" w:hAnsi="宋体" w:cs="宋体" w:eastAsia="宋体"/>
          <w:sz w:val="24"/>
          <w:color w:val="000000"/>
        </w:rPr>
        <w:t>该信用承诺书</w:t>
      </w:r>
      <w:r>
        <w:rPr>
          <w:rFonts w:ascii="宋体" w:hAnsi="宋体" w:cs="宋体" w:eastAsia="宋体"/>
          <w:sz w:val="24"/>
          <w:color w:val="000000"/>
        </w:rPr>
        <w:t>（按所投合同包提供，如投多个合同包的，则需分别按包提供），未提供的视为响应文件符合性不满足磋商文件要求，其无效投标。</w:t>
      </w:r>
      <w:r>
        <w:rPr>
          <w:rFonts w:ascii="宋体" w:hAnsi="宋体" w:cs="宋体" w:eastAsia="宋体"/>
          <w:sz w:val="24"/>
          <w:color w:val="000000"/>
        </w:rPr>
        <w:t>）</w:t>
      </w:r>
    </w:p>
    <w:p>
      <w:pPr>
        <w:pStyle w:val="null3"/>
        <w:jc w:val="center"/>
      </w:pPr>
      <w:r>
        <w:rPr>
          <w:rFonts w:ascii="黑体" w:hAnsi="黑体" w:cs="黑体" w:eastAsia="黑体"/>
          <w:sz w:val="36"/>
          <w:b/>
        </w:rPr>
        <w:t>福州市鼓楼区政府采购信用承诺书</w:t>
      </w:r>
    </w:p>
    <w:p>
      <w:pPr>
        <w:pStyle w:val="null3"/>
        <w:jc w:val="both"/>
      </w:pPr>
      <w:r>
        <w:rPr>
          <w:rFonts w:ascii="&quot;times new roman&quot;" w:hAnsi="&quot;times new roman&quot;" w:cs="&quot;times new roman&quot;" w:eastAsia="&quot;times new roman&quot;"/>
          <w:sz w:val="21"/>
          <w:u w:val="single"/>
        </w:rPr>
        <w:t xml:space="preserve">                   </w:t>
      </w:r>
      <w:r>
        <w:rPr>
          <w:rFonts w:ascii="仿宋" w:hAnsi="仿宋" w:cs="仿宋" w:eastAsia="仿宋"/>
          <w:sz w:val="32"/>
        </w:rPr>
        <w:t>：</w:t>
      </w:r>
    </w:p>
    <w:p>
      <w:pPr>
        <w:pStyle w:val="null3"/>
        <w:ind w:firstLine="640"/>
        <w:jc w:val="both"/>
      </w:pPr>
      <w:r>
        <w:rPr>
          <w:rFonts w:ascii="仿宋" w:hAnsi="仿宋" w:cs="仿宋" w:eastAsia="仿宋"/>
          <w:sz w:val="32"/>
        </w:rPr>
        <w:t>我公司</w:t>
      </w:r>
      <w:r>
        <w:rPr>
          <w:rFonts w:ascii="&quot;times new roman&quot;" w:hAnsi="&quot;times new roman&quot;" w:cs="&quot;times new roman&quot;" w:eastAsia="&quot;times new roman&quot;"/>
          <w:sz w:val="21"/>
          <w:u w:val="single"/>
        </w:rPr>
        <w:t xml:space="preserve">          </w:t>
      </w:r>
      <w:r>
        <w:rPr>
          <w:rFonts w:ascii="仿宋" w:hAnsi="仿宋" w:cs="仿宋" w:eastAsia="仿宋"/>
          <w:sz w:val="32"/>
        </w:rPr>
        <w:t>已详细阅读了</w:t>
      </w:r>
      <w:r>
        <w:rPr>
          <w:rFonts w:ascii="&quot;times new roman&quot;" w:hAnsi="&quot;times new roman&quot;" w:cs="&quot;times new roman&quot;" w:eastAsia="&quot;times new roman&quot;"/>
          <w:sz w:val="21"/>
          <w:u w:val="single"/>
        </w:rPr>
        <w:t xml:space="preserve">             </w:t>
      </w:r>
      <w:r>
        <w:rPr>
          <w:rFonts w:ascii="仿宋" w:hAnsi="仿宋" w:cs="仿宋" w:eastAsia="仿宋"/>
          <w:sz w:val="32"/>
        </w:rPr>
        <w:t>项目（项目编号：</w:t>
      </w:r>
      <w:r>
        <w:rPr>
          <w:rFonts w:ascii="&quot;times new roman&quot;" w:hAnsi="&quot;times new roman&quot;" w:cs="&quot;times new roman&quot;" w:eastAsia="&quot;times new roman&quot;"/>
          <w:sz w:val="21"/>
          <w:u w:val="single"/>
        </w:rPr>
        <w:t xml:space="preserve">               </w:t>
      </w:r>
      <w:r>
        <w:rPr>
          <w:rFonts w:ascii="仿宋" w:hAnsi="仿宋" w:cs="仿宋" w:eastAsia="仿宋"/>
          <w:sz w:val="32"/>
        </w:rPr>
        <w:t>）招标文件，自愿参加本次投标，现就有关事项郑重承诺如下：</w:t>
      </w:r>
    </w:p>
    <w:p>
      <w:pPr>
        <w:pStyle w:val="null3"/>
        <w:ind w:firstLine="640"/>
        <w:jc w:val="both"/>
      </w:pPr>
      <w:r>
        <w:rPr>
          <w:rFonts w:ascii="仿宋" w:hAnsi="仿宋" w:cs="仿宋" w:eastAsia="仿宋"/>
          <w:sz w:val="32"/>
        </w:rPr>
        <w:t>一、诚信投标，材料真实。我公司保证所提供的全部材料、投标内容均真实、合法、有效，保证不出借或者借用其他企业资质，不以他人名义投标，不弄虚作假；未列入失信被执行人、重大税收违法案件当事人名单、政府采购严重违法失信行为记录名单及其他不符合《中华人民共和国政府采购法》第二十二条规定条件。</w:t>
      </w:r>
    </w:p>
    <w:p>
      <w:pPr>
        <w:pStyle w:val="null3"/>
        <w:ind w:firstLine="640"/>
        <w:jc w:val="both"/>
      </w:pPr>
      <w:r>
        <w:rPr>
          <w:rFonts w:ascii="仿宋" w:hAnsi="仿宋" w:cs="仿宋" w:eastAsia="仿宋"/>
          <w:sz w:val="32"/>
        </w:rPr>
        <w:t>二、遵纪守法，公平竞争。不与其他投标人相互串通、哄抬价格，不排挤其他投标人，不损害招标人的合法权益；不向招标人、招标代理机构、评标委员会成员等及其他参与招标活动的人员行贿或采用其他不正当手段谋取中标。</w:t>
      </w:r>
    </w:p>
    <w:p>
      <w:pPr>
        <w:pStyle w:val="null3"/>
        <w:ind w:firstLine="640"/>
        <w:jc w:val="both"/>
      </w:pPr>
      <w:r>
        <w:rPr>
          <w:rFonts w:ascii="仿宋" w:hAnsi="仿宋" w:cs="仿宋" w:eastAsia="仿宋"/>
          <w:sz w:val="32"/>
        </w:rPr>
        <w:t>三、不捏造事实或借用他人名义进行虚假、恶意质疑和投诉，不以质疑或投诉为名排挤竞争对手，干扰政府采购秩序。</w:t>
      </w:r>
    </w:p>
    <w:p>
      <w:pPr>
        <w:pStyle w:val="null3"/>
        <w:ind w:firstLine="640"/>
        <w:jc w:val="both"/>
      </w:pPr>
      <w:r>
        <w:rPr>
          <w:rFonts w:ascii="仿宋" w:hAnsi="仿宋" w:cs="仿宋" w:eastAsia="仿宋"/>
          <w:sz w:val="32"/>
        </w:rPr>
        <w:t>四、若中标后，将按照规定及时与招标人签订政府采购合同，不与招标人订立有悖于招标结果的合同或协议；严格履行政府采购合同，不降低合同约定的产品质量及相关服务，不擅自变更、中止、终止合同，或者拒绝履行合同义务。</w:t>
      </w:r>
    </w:p>
    <w:p>
      <w:pPr>
        <w:pStyle w:val="null3"/>
        <w:ind w:firstLine="640"/>
        <w:jc w:val="both"/>
      </w:pPr>
      <w:r>
        <w:rPr>
          <w:rFonts w:ascii="仿宋" w:hAnsi="仿宋" w:cs="仿宋" w:eastAsia="仿宋"/>
          <w:sz w:val="32"/>
        </w:rPr>
        <w:t>若有违反以上承诺内容的行为，我公司自愿接受取消投标资格、记入信用档案、没收投标保证金、媒体通报、</w:t>
      </w:r>
      <w:r>
        <w:rPr>
          <w:rFonts w:ascii="仿宋" w:hAnsi="仿宋" w:cs="仿宋" w:eastAsia="仿宋"/>
          <w:sz w:val="32"/>
        </w:rPr>
        <w:t>1～3年内禁止参与福州市鼓楼区政府采购活动等处罚；如已中标的，自动放弃中标资格，并承担全部法律责任；给招标人造成损失的，依法承担赔偿责任。</w:t>
      </w:r>
    </w:p>
    <w:p>
      <w:pPr>
        <w:pStyle w:val="null3"/>
        <w:ind w:firstLine="420"/>
        <w:jc w:val="both"/>
      </w:pPr>
      <w:r>
        <w:rPr>
          <w:rFonts w:ascii="仿宋" w:hAnsi="仿宋" w:cs="仿宋" w:eastAsia="仿宋"/>
          <w:sz w:val="32"/>
        </w:rPr>
        <w:t xml:space="preserve">                     </w:t>
      </w:r>
      <w:r>
        <w:rPr>
          <w:rFonts w:ascii="仿宋" w:hAnsi="仿宋" w:cs="仿宋" w:eastAsia="仿宋"/>
          <w:sz w:val="32"/>
        </w:rPr>
        <w:t>投标人名称（公章）：</w:t>
      </w:r>
    </w:p>
    <w:p>
      <w:pPr>
        <w:pStyle w:val="null3"/>
        <w:jc w:val="both"/>
      </w:pPr>
      <w:r>
        <w:rPr>
          <w:rFonts w:ascii="仿宋" w:hAnsi="仿宋" w:cs="仿宋" w:eastAsia="仿宋"/>
          <w:sz w:val="32"/>
        </w:rPr>
        <w:t xml:space="preserve">                     </w:t>
      </w:r>
      <w:r>
        <w:rPr>
          <w:rFonts w:ascii="仿宋" w:hAnsi="仿宋" w:cs="仿宋" w:eastAsia="仿宋"/>
          <w:sz w:val="32"/>
        </w:rPr>
        <w:t>法定代表人（签字或盖章）：</w:t>
      </w:r>
    </w:p>
    <w:p>
      <w:pPr>
        <w:pStyle w:val="null3"/>
        <w:jc w:val="both"/>
      </w:pPr>
      <w:r>
        <w:rPr>
          <w:rFonts w:ascii="仿宋" w:hAnsi="仿宋" w:cs="仿宋" w:eastAsia="仿宋"/>
          <w:sz w:val="32"/>
        </w:rPr>
        <w:t xml:space="preserve">                     </w:t>
      </w:r>
      <w:r>
        <w:rPr>
          <w:rFonts w:ascii="仿宋" w:hAnsi="仿宋" w:cs="仿宋" w:eastAsia="仿宋"/>
          <w:sz w:val="32"/>
        </w:rPr>
        <w:t>日期：</w:t>
      </w:r>
      <w:r>
        <w:rPr>
          <w:rFonts w:ascii="仿宋" w:hAnsi="仿宋" w:cs="仿宋" w:eastAsia="仿宋"/>
          <w:sz w:val="32"/>
        </w:rPr>
        <w:t xml:space="preserve">    </w:t>
      </w:r>
      <w:r>
        <w:rPr>
          <w:rFonts w:ascii="仿宋" w:hAnsi="仿宋" w:cs="仿宋" w:eastAsia="仿宋"/>
          <w:sz w:val="32"/>
        </w:rPr>
        <w:t>年</w:t>
      </w:r>
      <w:r>
        <w:rPr>
          <w:rFonts w:ascii="仿宋" w:hAnsi="仿宋" w:cs="仿宋" w:eastAsia="仿宋"/>
          <w:sz w:val="32"/>
        </w:rPr>
        <w:t xml:space="preserve">  </w:t>
      </w:r>
      <w:r>
        <w:rPr>
          <w:rFonts w:ascii="仿宋" w:hAnsi="仿宋" w:cs="仿宋" w:eastAsia="仿宋"/>
          <w:sz w:val="32"/>
        </w:rPr>
        <w:t>月</w:t>
      </w:r>
      <w:r>
        <w:rPr>
          <w:rFonts w:ascii="仿宋" w:hAnsi="仿宋" w:cs="仿宋" w:eastAsia="仿宋"/>
          <w:sz w:val="32"/>
        </w:rPr>
        <w:t xml:space="preserve">  </w:t>
      </w:r>
      <w:r>
        <w:rPr>
          <w:rFonts w:ascii="仿宋" w:hAnsi="仿宋" w:cs="仿宋" w:eastAsia="仿宋"/>
          <w:sz w:val="32"/>
        </w:rPr>
        <w:t>日</w:t>
      </w:r>
    </w:p>
    <w:p>
      <w:pPr>
        <w:pStyle w:val="null3"/>
        <w:jc w:val="left"/>
        <w:outlineLvl w:val="2"/>
      </w:pPr>
      <w:r>
        <w:rPr>
          <w:sz w:val="28"/>
          <w:b/>
        </w:rPr>
        <w:t>四、其他事项</w:t>
      </w:r>
    </w:p>
    <w:p>
      <w:pPr>
        <w:pStyle w:val="null3"/>
        <w:jc w:val="left"/>
      </w:pPr>
      <w:r>
        <w:rPr/>
        <w:t>1、除竞争性磋商文件另有规定外，若出现有关法律、法规和规章有强制性规定但竞争性磋商文件未列明的情形，则供应商应按照有关法律、法规和规章强制性规定执行。</w:t>
      </w:r>
    </w:p>
    <w:p>
      <w:pPr>
        <w:pStyle w:val="null3"/>
      </w:pPr>
      <w:r>
        <w:rPr/>
        <w:t xml:space="preserve"> </w:t>
        <w:br/>
        <w:br w:type="page"/>
      </w:r>
    </w:p>
    <w:p>
      <w:pPr>
        <w:pStyle w:val="null3"/>
        <w:jc w:val="center"/>
        <w:outlineLvl w:val="1"/>
      </w:pPr>
      <w:r>
        <w:rPr>
          <w:sz w:val="36"/>
          <w:b/>
        </w:rPr>
        <w:t>第四章 合同主要条款及格式</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sz w:val="48"/>
          <w:b/>
        </w:rPr>
        <w:t xml:space="preserve"> 福建省政府采购项目竞争性磋商</w:t>
      </w:r>
    </w:p>
    <w:p>
      <w:pPr>
        <w:pStyle w:val="null3"/>
        <w:jc w:val="center"/>
        <w:outlineLvl w:val="1"/>
      </w:pPr>
      <w:r>
        <w:rPr>
          <w:sz w:val="36"/>
          <w:b/>
        </w:rPr>
        <w:t>响应文件</w:t>
      </w:r>
    </w:p>
    <w:p>
      <w:pPr>
        <w:pStyle w:val="null3"/>
        <w:jc w:val="center"/>
        <w:outlineLvl w:val="1"/>
      </w:pPr>
      <w:r>
        <w:rPr>
          <w:sz w:val="36"/>
          <w:b/>
        </w:rPr>
        <w:t>（首次）</w:t>
      </w:r>
      <w:r>
        <w:br/>
      </w:r>
      <w:r>
        <w:br/>
      </w:r>
      <w:r>
        <w:br/>
      </w:r>
      <w:r>
        <w:br/>
      </w:r>
      <w:r>
        <w:br/>
      </w:r>
    </w:p>
    <w:p>
      <w:pPr>
        <w:pStyle w:val="null3"/>
        <w:jc w:val="center"/>
        <w:outlineLvl w:val="2"/>
      </w:pPr>
      <w:r>
        <w:rPr>
          <w:sz w:val="28"/>
          <w:b/>
        </w:rPr>
        <w:t>项目名称：</w:t>
      </w:r>
      <w:r>
        <w:rPr>
          <w:sz w:val="28"/>
          <w:b/>
          <w:u w:val="single"/>
        </w:rPr>
        <w:t xml:space="preserve">                                  </w:t>
      </w:r>
    </w:p>
    <w:p>
      <w:pPr>
        <w:pStyle w:val="null3"/>
        <w:jc w:val="center"/>
        <w:outlineLvl w:val="2"/>
      </w:pPr>
      <w:r>
        <w:rPr>
          <w:sz w:val="28"/>
          <w:b/>
        </w:rPr>
        <w:t>项目编号：</w:t>
      </w:r>
      <w:r>
        <w:rPr>
          <w:sz w:val="28"/>
          <w:b/>
          <w:u w:val="single"/>
        </w:rPr>
        <w:t xml:space="preserve">                                  </w:t>
      </w:r>
    </w:p>
    <w:p>
      <w:pPr>
        <w:pStyle w:val="null3"/>
        <w:jc w:val="center"/>
        <w:outlineLvl w:val="2"/>
      </w:pPr>
      <w:r>
        <w:rPr>
          <w:sz w:val="28"/>
          <w:b/>
        </w:rPr>
        <w:t>采购包：</w:t>
      </w:r>
      <w:r>
        <w:rPr>
          <w:sz w:val="28"/>
          <w:b/>
          <w:u w:val="single"/>
        </w:rPr>
        <w:t xml:space="preserve">                                  </w:t>
      </w:r>
      <w:r>
        <w:br/>
      </w:r>
      <w:r>
        <w:br/>
      </w:r>
    </w:p>
    <w:p>
      <w:pPr>
        <w:pStyle w:val="null3"/>
        <w:jc w:val="center"/>
        <w:outlineLvl w:val="2"/>
      </w:pPr>
      <w:r>
        <w:rPr>
          <w:sz w:val="28"/>
          <w:b/>
        </w:rPr>
        <w:t>供应商名称：</w:t>
      </w:r>
      <w:r>
        <w:rPr>
          <w:sz w:val="28"/>
          <w:b/>
          <w:u w:val="single"/>
        </w:rPr>
        <w:t xml:space="preserve">                                  </w:t>
      </w:r>
    </w:p>
    <w:p>
      <w:pPr>
        <w:pStyle w:val="null3"/>
        <w:jc w:val="center"/>
        <w:outlineLvl w:val="2"/>
      </w:pPr>
      <w:r>
        <w:rPr>
          <w:sz w:val="28"/>
          <w:b/>
        </w:rPr>
        <w:t>日        期：</w:t>
      </w:r>
      <w:r>
        <w:rPr>
          <w:sz w:val="28"/>
          <w:b/>
          <w:u w:val="single"/>
        </w:rPr>
        <w:t xml:space="preserve">                                  </w:t>
      </w:r>
    </w:p>
    <w:p>
      <w:pPr>
        <w:pStyle w:val="null3"/>
      </w:pPr>
      <w:r>
        <w:rPr/>
        <w:t xml:space="preserve"> </w:t>
        <w:br/>
        <w:br w:type="page"/>
      </w:r>
    </w:p>
    <w:p>
      <w:pPr>
        <w:pStyle w:val="null3"/>
        <w:jc w:val="center"/>
        <w:outlineLvl w:val="2"/>
      </w:pPr>
      <w:r>
        <w:rPr>
          <w:sz w:val="28"/>
          <w:b/>
        </w:rPr>
        <w:t>目 录</w:t>
      </w:r>
    </w:p>
    <w:p>
      <w:pPr>
        <w:pStyle w:val="null3"/>
        <w:ind w:firstLine="480"/>
        <w:jc w:val="left"/>
      </w:pPr>
      <w:r>
        <w:rPr/>
        <w:t>附件1：响应函</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[350102]FJRC[CS]2024001</w:t>
      </w:r>
    </w:p>
    <w:p>
      <w:pPr>
        <w:pStyle w:val="null3"/>
        <w:jc w:val="left"/>
      </w:pPr>
      <w:r>
        <w:rPr/>
        <w:t>项目名称：</w:t>
      </w:r>
      <w:r>
        <w:rPr/>
        <w:t>鼓楼区巡察驻点餐饮服务项目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鼓楼区巡察驻点餐饮服务项目</w:t>
            </w:r>
          </w:p>
        </w:tc>
        <w:tc>
          <w:tcPr>
            <w:tcW w:type="dxa" w:w="1661"/>
          </w:tcPr>
          <w:p>
            <w:pPr>
              <w:pStyle w:val="null3"/>
              <w:jc w:val="left"/>
            </w:pPr>
            <w:r>
              <w:rPr/>
              <w:t xml:space="preserve"> 648000.0000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[350102]FJRC[CS]2024001</w:t>
      </w:r>
    </w:p>
    <w:p>
      <w:pPr>
        <w:pStyle w:val="null3"/>
        <w:jc w:val="left"/>
      </w:pPr>
      <w:r>
        <w:rPr/>
        <w:t>项目名称：</w:t>
      </w:r>
      <w:r>
        <w:rPr/>
        <w:t>鼓楼区巡察驻点餐饮服务项目</w:t>
      </w:r>
    </w:p>
    <w:p>
      <w:pPr>
        <w:pStyle w:val="null3"/>
        <w:jc w:val="left"/>
      </w:pPr>
      <w:r>
        <w:rPr/>
        <w:t xml:space="preserve"> 鼓楼区巡察驻点餐饮服务项目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鼓楼区巡察驻点餐饮服务项目</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648000.0000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center"/>
        <w:outlineLvl w:val="2"/>
      </w:pPr>
      <w:r>
        <w:rPr>
          <w:sz w:val="28"/>
          <w:b/>
        </w:rPr>
        <w:t>附件3 资格证明文件</w:t>
      </w:r>
    </w:p>
    <w:p>
      <w:pPr>
        <w:pStyle w:val="null3"/>
        <w:jc w:val="center"/>
        <w:outlineLvl w:val="3"/>
      </w:pPr>
      <w:r>
        <w:rPr>
          <w:sz w:val="24"/>
          <w:b/>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sz w:val="24"/>
          <w:b/>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附件3-8 具备履行合同所必需设备和专业技术能力证明材料</w:t>
      </w:r>
    </w:p>
    <w:p>
      <w:pPr>
        <w:pStyle w:val="null3"/>
        <w:jc w:val="center"/>
        <w:outlineLvl w:val="3"/>
      </w:pPr>
      <w:r>
        <w:rPr>
          <w:sz w:val="24"/>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附件3-10 联合体协议</w:t>
      </w:r>
    </w:p>
    <w:p>
      <w:pPr>
        <w:pStyle w:val="null3"/>
        <w:jc w:val="center"/>
        <w:outlineLvl w:val="3"/>
      </w:pPr>
      <w:r>
        <w:rPr>
          <w:sz w:val="24"/>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sz w:val="24"/>
          <w:b/>
        </w:rPr>
        <w:t>附件3-13 其它资格证明文件</w:t>
      </w:r>
    </w:p>
    <w:p>
      <w:pPr>
        <w:pStyle w:val="null3"/>
        <w:jc w:val="center"/>
        <w:outlineLvl w:val="3"/>
      </w:pPr>
      <w:r>
        <w:rPr>
          <w:sz w:val="24"/>
          <w:b/>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附件4 磋商保证金凭证</w:t>
      </w:r>
    </w:p>
    <w:p>
      <w:pPr>
        <w:pStyle w:val="null3"/>
        <w:jc w:val="center"/>
        <w:outlineLvl w:val="3"/>
      </w:pPr>
      <w:r>
        <w:rPr>
          <w:sz w:val="24"/>
          <w:b/>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sz w:val="28"/>
          <w:b/>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sz w:val="24"/>
          <w:b/>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3"/>
      </w:pPr>
      <w:r>
        <w:rPr>
          <w:sz w:val="24"/>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sz w:val="24"/>
          <w:b/>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sz w:val="24"/>
          <w:b/>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 xml:space="preserve"> 附件7-2 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