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spacing w:line="560" w:lineRule="exact"/>
        <w:rPr>
          <w:rFonts w:ascii="仿宋_GB2312" w:hAnsi="仿宋_GB2312" w:cs="仿宋_GB2312"/>
          <w:color w:val="000000"/>
          <w:szCs w:val="32"/>
        </w:rPr>
        <w:sectPr>
          <w:footerReference r:id="rId5" w:type="default"/>
          <w:pgSz w:w="16838" w:h="11906" w:orient="landscape"/>
          <w:pgMar w:top="1531" w:right="1701" w:bottom="1531" w:left="1531" w:header="851" w:footer="992" w:gutter="0"/>
          <w:pgNumType w:fmt="numberInDash"/>
          <w:cols w:space="720" w:num="1"/>
          <w:docGrid w:type="lines" w:linePitch="312" w:charSpace="0"/>
        </w:sectPr>
      </w:pPr>
    </w:p>
    <w:tbl>
      <w:tblPr>
        <w:tblStyle w:val="7"/>
        <w:tblW w:w="15860" w:type="dxa"/>
        <w:jc w:val="center"/>
        <w:tblLayout w:type="fixed"/>
        <w:tblCellMar>
          <w:top w:w="0" w:type="dxa"/>
          <w:left w:w="0" w:type="dxa"/>
          <w:bottom w:w="0" w:type="dxa"/>
          <w:right w:w="0" w:type="dxa"/>
        </w:tblCellMar>
      </w:tblPr>
      <w:tblGrid>
        <w:gridCol w:w="533"/>
        <w:gridCol w:w="1202"/>
        <w:gridCol w:w="5773"/>
        <w:gridCol w:w="1852"/>
        <w:gridCol w:w="2093"/>
        <w:gridCol w:w="897"/>
        <w:gridCol w:w="897"/>
        <w:gridCol w:w="923"/>
        <w:gridCol w:w="1690"/>
      </w:tblGrid>
      <w:tr>
        <w:tblPrEx>
          <w:tblCellMar>
            <w:top w:w="0" w:type="dxa"/>
            <w:left w:w="0" w:type="dxa"/>
            <w:bottom w:w="0" w:type="dxa"/>
            <w:right w:w="0" w:type="dxa"/>
          </w:tblCellMar>
        </w:tblPrEx>
        <w:trPr>
          <w:trHeight w:val="562" w:hRule="atLeast"/>
          <w:jc w:val="center"/>
        </w:trPr>
        <w:tc>
          <w:tcPr>
            <w:tcW w:w="1735" w:type="dxa"/>
            <w:gridSpan w:val="2"/>
            <w:tcBorders>
              <w:top w:val="nil"/>
              <w:left w:val="nil"/>
              <w:bottom w:val="nil"/>
              <w:right w:val="nil"/>
            </w:tcBorders>
            <w:tcMar>
              <w:top w:w="15" w:type="dxa"/>
              <w:left w:w="15" w:type="dxa"/>
              <w:right w:w="15" w:type="dxa"/>
            </w:tcMar>
            <w:vAlign w:val="center"/>
          </w:tcPr>
          <w:p>
            <w:pPr>
              <w:widowControl/>
              <w:spacing w:line="560" w:lineRule="exact"/>
              <w:jc w:val="center"/>
              <w:textAlignment w:val="center"/>
              <w:rPr>
                <w:rFonts w:ascii="黑体" w:hAnsi="宋体" w:eastAsia="黑体" w:cs="黑体"/>
                <w:color w:val="000000"/>
                <w:sz w:val="36"/>
                <w:szCs w:val="36"/>
              </w:rPr>
            </w:pPr>
            <w:r>
              <w:rPr>
                <w:rFonts w:hint="eastAsia" w:ascii="黑体" w:hAnsi="黑体" w:eastAsia="黑体" w:cs="黑体"/>
                <w:color w:val="000000"/>
                <w:kern w:val="0"/>
                <w:szCs w:val="32"/>
              </w:rPr>
              <w:t>附件1</w:t>
            </w:r>
          </w:p>
        </w:tc>
        <w:tc>
          <w:tcPr>
            <w:tcW w:w="5773" w:type="dxa"/>
            <w:tcBorders>
              <w:top w:val="nil"/>
              <w:left w:val="nil"/>
              <w:bottom w:val="nil"/>
              <w:right w:val="nil"/>
            </w:tcBorders>
            <w:tcMar>
              <w:top w:w="15" w:type="dxa"/>
              <w:left w:w="15" w:type="dxa"/>
              <w:right w:w="15" w:type="dxa"/>
            </w:tcMar>
            <w:vAlign w:val="center"/>
          </w:tcPr>
          <w:p>
            <w:pPr>
              <w:spacing w:line="560" w:lineRule="exact"/>
              <w:jc w:val="left"/>
              <w:rPr>
                <w:rFonts w:hint="eastAsia" w:ascii="宋体" w:hAnsi="宋体" w:eastAsia="宋体" w:cs="宋体"/>
                <w:color w:val="000000"/>
                <w:sz w:val="22"/>
                <w:szCs w:val="22"/>
              </w:rPr>
            </w:pPr>
          </w:p>
        </w:tc>
        <w:tc>
          <w:tcPr>
            <w:tcW w:w="1852" w:type="dxa"/>
            <w:tcBorders>
              <w:top w:val="nil"/>
              <w:left w:val="nil"/>
              <w:bottom w:val="nil"/>
              <w:right w:val="nil"/>
            </w:tcBorders>
            <w:tcMar>
              <w:top w:w="15" w:type="dxa"/>
              <w:left w:w="15" w:type="dxa"/>
              <w:right w:w="15" w:type="dxa"/>
            </w:tcMar>
            <w:vAlign w:val="center"/>
          </w:tcPr>
          <w:p>
            <w:pPr>
              <w:spacing w:line="560" w:lineRule="exact"/>
              <w:jc w:val="center"/>
              <w:rPr>
                <w:rFonts w:hint="eastAsia" w:ascii="宋体" w:hAnsi="宋体" w:eastAsia="宋体" w:cs="宋体"/>
                <w:color w:val="000000"/>
                <w:sz w:val="22"/>
                <w:szCs w:val="22"/>
              </w:rPr>
            </w:pPr>
          </w:p>
        </w:tc>
        <w:tc>
          <w:tcPr>
            <w:tcW w:w="2093" w:type="dxa"/>
            <w:tcBorders>
              <w:top w:val="nil"/>
              <w:left w:val="nil"/>
              <w:bottom w:val="nil"/>
              <w:right w:val="nil"/>
            </w:tcBorders>
            <w:tcMar>
              <w:top w:w="15" w:type="dxa"/>
              <w:left w:w="15" w:type="dxa"/>
              <w:right w:w="15" w:type="dxa"/>
            </w:tcMar>
            <w:vAlign w:val="center"/>
          </w:tcPr>
          <w:p>
            <w:pPr>
              <w:spacing w:line="560" w:lineRule="exact"/>
              <w:jc w:val="center"/>
              <w:rPr>
                <w:rFonts w:hint="eastAsia" w:ascii="宋体" w:hAnsi="宋体" w:eastAsia="宋体" w:cs="宋体"/>
                <w:color w:val="000000"/>
                <w:sz w:val="22"/>
                <w:szCs w:val="22"/>
              </w:rPr>
            </w:pPr>
          </w:p>
        </w:tc>
        <w:tc>
          <w:tcPr>
            <w:tcW w:w="897" w:type="dxa"/>
            <w:tcBorders>
              <w:top w:val="nil"/>
              <w:left w:val="nil"/>
              <w:bottom w:val="nil"/>
              <w:right w:val="nil"/>
            </w:tcBorders>
            <w:tcMar>
              <w:top w:w="15" w:type="dxa"/>
              <w:left w:w="15" w:type="dxa"/>
              <w:right w:w="15" w:type="dxa"/>
            </w:tcMar>
            <w:vAlign w:val="center"/>
          </w:tcPr>
          <w:p>
            <w:pPr>
              <w:spacing w:line="560" w:lineRule="exact"/>
              <w:jc w:val="center"/>
              <w:rPr>
                <w:rFonts w:hint="eastAsia" w:ascii="宋体" w:hAnsi="宋体" w:eastAsia="宋体" w:cs="宋体"/>
                <w:color w:val="000000"/>
                <w:sz w:val="22"/>
                <w:szCs w:val="22"/>
              </w:rPr>
            </w:pPr>
          </w:p>
        </w:tc>
        <w:tc>
          <w:tcPr>
            <w:tcW w:w="897" w:type="dxa"/>
            <w:tcBorders>
              <w:top w:val="nil"/>
              <w:left w:val="nil"/>
              <w:bottom w:val="nil"/>
              <w:right w:val="nil"/>
            </w:tcBorders>
            <w:tcMar>
              <w:top w:w="15" w:type="dxa"/>
              <w:left w:w="15" w:type="dxa"/>
              <w:right w:w="15" w:type="dxa"/>
            </w:tcMar>
            <w:vAlign w:val="center"/>
          </w:tcPr>
          <w:p>
            <w:pPr>
              <w:spacing w:line="560" w:lineRule="exact"/>
              <w:jc w:val="center"/>
              <w:rPr>
                <w:rFonts w:hint="eastAsia" w:ascii="宋体" w:hAnsi="宋体" w:eastAsia="宋体" w:cs="宋体"/>
                <w:color w:val="000000"/>
                <w:sz w:val="22"/>
                <w:szCs w:val="22"/>
              </w:rPr>
            </w:pPr>
          </w:p>
        </w:tc>
        <w:tc>
          <w:tcPr>
            <w:tcW w:w="923" w:type="dxa"/>
            <w:tcBorders>
              <w:top w:val="nil"/>
              <w:left w:val="nil"/>
              <w:bottom w:val="nil"/>
              <w:right w:val="nil"/>
            </w:tcBorders>
            <w:tcMar>
              <w:top w:w="15" w:type="dxa"/>
              <w:left w:w="15" w:type="dxa"/>
              <w:right w:w="15" w:type="dxa"/>
            </w:tcMar>
            <w:vAlign w:val="center"/>
          </w:tcPr>
          <w:p>
            <w:pPr>
              <w:spacing w:line="560" w:lineRule="exact"/>
              <w:jc w:val="center"/>
              <w:rPr>
                <w:rFonts w:hint="eastAsia" w:ascii="宋体" w:hAnsi="宋体" w:eastAsia="宋体" w:cs="宋体"/>
                <w:color w:val="000000"/>
                <w:sz w:val="22"/>
                <w:szCs w:val="22"/>
              </w:rPr>
            </w:pPr>
          </w:p>
        </w:tc>
        <w:tc>
          <w:tcPr>
            <w:tcW w:w="1690" w:type="dxa"/>
            <w:tcBorders>
              <w:top w:val="nil"/>
              <w:left w:val="nil"/>
              <w:bottom w:val="nil"/>
              <w:right w:val="nil"/>
            </w:tcBorders>
            <w:tcMar>
              <w:top w:w="15" w:type="dxa"/>
              <w:left w:w="15" w:type="dxa"/>
              <w:right w:w="15" w:type="dxa"/>
            </w:tcMar>
            <w:vAlign w:val="center"/>
          </w:tcPr>
          <w:p>
            <w:pPr>
              <w:spacing w:line="560" w:lineRule="exact"/>
              <w:jc w:val="center"/>
              <w:rPr>
                <w:rFonts w:hint="eastAsia" w:ascii="宋体" w:hAnsi="宋体" w:eastAsia="宋体" w:cs="宋体"/>
                <w:color w:val="000000"/>
                <w:sz w:val="22"/>
                <w:szCs w:val="22"/>
              </w:rPr>
            </w:pPr>
          </w:p>
        </w:tc>
      </w:tr>
      <w:tr>
        <w:tblPrEx>
          <w:tblCellMar>
            <w:top w:w="0" w:type="dxa"/>
            <w:left w:w="0" w:type="dxa"/>
            <w:bottom w:w="0" w:type="dxa"/>
            <w:right w:w="0" w:type="dxa"/>
          </w:tblCellMar>
        </w:tblPrEx>
        <w:trPr>
          <w:trHeight w:val="786" w:hRule="atLeast"/>
          <w:jc w:val="center"/>
        </w:trPr>
        <w:tc>
          <w:tcPr>
            <w:tcW w:w="15860" w:type="dxa"/>
            <w:gridSpan w:val="9"/>
            <w:tcBorders>
              <w:top w:val="nil"/>
              <w:left w:val="nil"/>
              <w:bottom w:val="nil"/>
              <w:right w:val="nil"/>
            </w:tcBorders>
            <w:tcMar>
              <w:top w:w="15" w:type="dxa"/>
              <w:left w:w="15" w:type="dxa"/>
              <w:right w:w="15" w:type="dxa"/>
            </w:tcMar>
            <w:vAlign w:val="center"/>
          </w:tcPr>
          <w:p>
            <w:pPr>
              <w:widowControl/>
              <w:spacing w:line="560" w:lineRule="exact"/>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rPr>
              <w:t>2019年鼓楼区优化营商环境工作任务分工表</w:t>
            </w:r>
          </w:p>
        </w:tc>
      </w:tr>
      <w:tr>
        <w:tblPrEx>
          <w:tblCellMar>
            <w:top w:w="0" w:type="dxa"/>
            <w:left w:w="0" w:type="dxa"/>
            <w:bottom w:w="0" w:type="dxa"/>
            <w:right w:w="0" w:type="dxa"/>
          </w:tblCellMar>
        </w:tblPrEx>
        <w:trPr>
          <w:trHeight w:val="57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cs="仿宋_GB2312"/>
                <w:b/>
                <w:color w:val="000000"/>
                <w:sz w:val="20"/>
              </w:rPr>
            </w:pPr>
            <w:r>
              <w:rPr>
                <w:rFonts w:hint="eastAsia" w:ascii="仿宋_GB2312" w:hAnsi="宋体" w:cs="仿宋_GB2312"/>
                <w:b/>
                <w:color w:val="000000"/>
                <w:kern w:val="0"/>
                <w:sz w:val="20"/>
              </w:rPr>
              <w:t>序号</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工作目标</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具体措施</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牵头部门</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责任部门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部门责任领导</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分管</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区领导</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完成时限</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备注</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w:t>
            </w:r>
          </w:p>
        </w:tc>
        <w:tc>
          <w:tcPr>
            <w:tcW w:w="12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（一）</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开办企业</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深化商事登记制度改革。</w:t>
            </w:r>
            <w:r>
              <w:rPr>
                <w:rStyle w:val="13"/>
                <w:rFonts w:hint="default" w:hAnsi="宋体"/>
              </w:rPr>
              <w:t>推进个体工商户登记便利化改革，深化个体工商户“微信申请+直接登记+自动审核+自助打照”全程智能化登记模式经验的推广复制。</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徐金泰</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9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压缩开办企业时间。</w:t>
            </w:r>
            <w:r>
              <w:rPr>
                <w:rStyle w:val="11"/>
                <w:rFonts w:hint="default" w:hAnsi="宋体"/>
              </w:rPr>
              <w:t>企业开办时间压缩至2天。</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区行政服务中心管委会、鼓楼公安分局、区税务局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徐金泰</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9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6"/>
                <w:rFonts w:hint="default" w:hAnsi="宋体"/>
              </w:rPr>
              <w:t>加强“互联网+政务服务+金融服务”模式。</w:t>
            </w:r>
            <w:r>
              <w:rPr>
                <w:rStyle w:val="15"/>
                <w:rFonts w:hint="default" w:hAnsi="宋体"/>
              </w:rPr>
              <w:t>持续推进完善政银合作，新增一批银行服务网点，优化全链条服务模式。</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区金融办、区税务局、鼓楼公安分局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徐金泰</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3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提供无偿代办服务。</w:t>
            </w:r>
            <w:r>
              <w:rPr>
                <w:rStyle w:val="11"/>
                <w:rFonts w:hint="default" w:hAnsi="宋体"/>
              </w:rPr>
              <w:t>在现有的基础上，进一步完善招商点落户企业无偿代办服务，适当扩大代办服务范围，为群众提供优质服务。</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区市场监管局、区税务局、区企业服务中心</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3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同步营业执照领取和公章刻制。</w:t>
            </w:r>
            <w:r>
              <w:rPr>
                <w:rStyle w:val="11"/>
                <w:rFonts w:hint="default" w:hAnsi="宋体"/>
              </w:rPr>
              <w:t>协调全区刻章网点在窗口提供刻章网点二维码，营业执照领取与公章刻制同步进行。</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鼓楼公安分局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区行政服务中心管委会</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陈祖铭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黄绍兴</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3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公章刻制“三提升一下降”。</w:t>
            </w:r>
            <w:r>
              <w:rPr>
                <w:rStyle w:val="11"/>
                <w:rFonts w:hint="default" w:hAnsi="宋体"/>
              </w:rPr>
              <w:t>提升技术含量、提升管理能力、提升服务水平和印章价格稳中下降。</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鼓楼公安分局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陈祖铭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黄绍兴</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6"/>
                <w:rFonts w:hint="default" w:hAnsi="宋体"/>
              </w:rPr>
              <w:t>打通个体户注册登记“最后一公里”，实现“最多跑一趟”。</w:t>
            </w:r>
            <w:r>
              <w:rPr>
                <w:rStyle w:val="15"/>
                <w:rFonts w:hint="default" w:hAnsi="宋体"/>
              </w:rPr>
              <w:t>积极推进个体工商户注册登记“多点办理”工作模式。将个体工商户全程智能化登记拓展至辖区十个市场监管所。同时开展简易注销“多点办理”工作模式，提升市场主体准入及退出的便利度。</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徐金泰</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57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6"/>
                <w:rFonts w:hint="default" w:hAnsi="宋体"/>
              </w:rPr>
              <w:t>探索推进中介代理机构代办规范化。</w:t>
            </w:r>
            <w:r>
              <w:rPr>
                <w:rStyle w:val="15"/>
                <w:rFonts w:hint="default" w:hAnsi="宋体"/>
              </w:rPr>
              <w:t>开通专业代理机构登记绿色通道，提高窗口办事效率，优化代理人信用管理。</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区行政服务中心管委会</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徐金泰</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w:t>
            </w:r>
          </w:p>
        </w:tc>
        <w:tc>
          <w:tcPr>
            <w:tcW w:w="12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（二）</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注销企业</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优化企业注销程序。</w:t>
            </w:r>
            <w:r>
              <w:rPr>
                <w:rStyle w:val="11"/>
                <w:rFonts w:hint="default" w:hAnsi="宋体"/>
              </w:rPr>
              <w:t>推广企业注销“一站式”改革举措。破产管理人凭法院破产裁定书，及时向税务、社保、银行等注销登记，加强部门间的沟通联动，优化办理流程，精简程序数量。</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 xml:space="preserve">区市场监管局     </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区税务局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区法院、区人社局、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区金融办、区商务局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吴圣杰</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徐金泰</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推行简易注销登记。</w:t>
            </w:r>
            <w:r>
              <w:rPr>
                <w:rStyle w:val="11"/>
                <w:rFonts w:hint="default" w:hAnsi="宋体"/>
              </w:rPr>
              <w:t>对领取营业执照后未开展经营活动、申请注销登记前未发生债权债务或已将债权债务清算完结的符合条件企业，及人民法院裁定强制清算或宣告破产企业，推行简易注销登记。</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区人社局、区税务局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徐金泰</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w:t>
            </w:r>
          </w:p>
        </w:tc>
        <w:tc>
          <w:tcPr>
            <w:tcW w:w="12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（三）</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办理建筑</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许可</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完善审批体系。</w:t>
            </w:r>
            <w:r>
              <w:rPr>
                <w:rStyle w:val="12"/>
                <w:rFonts w:hint="default" w:hAnsi="宋体"/>
              </w:rPr>
              <w:t>“一个窗口”提供综合服务（设立工程建设项目审批综合服务窗口）、“一张表单”整合申报材料。</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区建设局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区发改局、区自然资源和规划局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雯</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陈晓彬</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0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创新工程建设模式。</w:t>
            </w:r>
            <w:r>
              <w:rPr>
                <w:rStyle w:val="15"/>
                <w:rFonts w:hint="default" w:hAnsi="宋体"/>
              </w:rPr>
              <w:t>进一步深化建筑业“放管服”改革，强化落实各方主体责任，完善监管体制，推动跨部门联动监管。</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区建设局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区发改局、区工信局、区财政局等区直有关部门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0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探索复制工程质量保险制。</w:t>
            </w:r>
            <w:r>
              <w:rPr>
                <w:rStyle w:val="12"/>
                <w:rFonts w:hint="default" w:hAnsi="宋体"/>
              </w:rPr>
              <w:t>复制推广上海、深圳工程质量保险制先进经验，结合我区实际，探索制定相应政策，报区政府研究。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区建设局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区财政局、区发改局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147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（四）</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获得用水</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压缩获得用水时间。</w:t>
            </w:r>
            <w:r>
              <w:rPr>
                <w:rStyle w:val="12"/>
                <w:rFonts w:hint="default" w:hAnsi="宋体"/>
              </w:rPr>
              <w:t>落实辖区主次干道以外的区管道路上新建长度20米以下的水管沟，简化审批程序，规划、交警、市政等单位执行平行审批机制，特殊情况采取一事一议的方式，且给予容缺审批，并进一步提高审批效率。</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区城管局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区市政维护所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吴端正</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郑炳锋</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15</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（五）</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获得用气</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压缩获得用气时间。</w:t>
            </w:r>
            <w:r>
              <w:rPr>
                <w:rStyle w:val="12"/>
                <w:rFonts w:hint="default" w:hAnsi="宋体"/>
              </w:rPr>
              <w:t>落实辖区主次干道以外的区管道路上新建长度20米以下的气管沟，简化审批程序，规划、交警、市政等单位执行平行审批机制，特殊情况采取一事一议的方式，且给予容缺审批，并进一步提高审批效率。</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区城管局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区市政维护所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吴端正</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郑炳锋</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6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16</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（六）</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不动产登记</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增设不动产自助设备。</w:t>
            </w:r>
            <w:r>
              <w:rPr>
                <w:rStyle w:val="12"/>
                <w:rFonts w:hint="default" w:hAnsi="宋体"/>
              </w:rPr>
              <w:t>加快宣传力度，最大程度发挥不动产自助设备就近便民优势，争取在软件园等高新园区、街镇等办事群众集中的区域增设不动产自助设备。</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区行政服务中心管委会</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kern w:val="0"/>
                <w:sz w:val="20"/>
              </w:rPr>
            </w:pPr>
            <w:r>
              <w:rPr>
                <w:rFonts w:hint="eastAsia" w:ascii="仿宋_GB2312" w:hAnsi="宋体" w:cs="仿宋_GB2312"/>
                <w:color w:val="000000"/>
                <w:kern w:val="0"/>
                <w:sz w:val="20"/>
              </w:rPr>
              <w:t>陈  丹</w:t>
            </w:r>
          </w:p>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588"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17</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（七）</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获得电力</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提高供电可靠性。</w:t>
            </w:r>
            <w:r>
              <w:rPr>
                <w:rStyle w:val="15"/>
                <w:rFonts w:hint="default" w:hAnsi="宋体"/>
              </w:rPr>
              <w:t>全面推行不停电作业，业扩不停电作业接火率达90%以上。</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福州供电公司</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鼓楼供电服务中心</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福州供电公司</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鼓楼供电服务中心</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陈宗伟</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18</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简化获得电力流程。</w:t>
            </w:r>
            <w:r>
              <w:rPr>
                <w:rStyle w:val="15"/>
                <w:rFonts w:hint="default" w:hAnsi="宋体"/>
              </w:rPr>
              <w:t>10千伏报装环节减为“申请受理、供电方案答复、外部工程施工、装表接电”4个环节（不涉及外部工程的增容项目，压减为3个环节）；400伏报装环节减为“申请受理、外部工程施工、装表接电”3个环节。</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福州供电公司鼓楼供电服务中心</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鼓楼公安分局、区建设局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陈宗伟</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9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19</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缩短获得电力答复时间。</w:t>
            </w:r>
            <w:r>
              <w:rPr>
                <w:rStyle w:val="15"/>
                <w:rFonts w:hint="default" w:hAnsi="宋体"/>
              </w:rPr>
              <w:t>推行低压供电方案免审批，试行申请容量在315千伏安及以下的供电方案现场答复。</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福州供电公司鼓楼供电服务中心</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区工信局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陈宗伟</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20</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政企联动信息共享。</w:t>
            </w:r>
            <w:r>
              <w:rPr>
                <w:rStyle w:val="15"/>
                <w:rFonts w:hint="default" w:hAnsi="宋体"/>
              </w:rPr>
              <w:t>通过政务服务平台自动获取营业执照、规划许可等信息，实现仅凭有效主体资格证明（营业执照或组织机构代码证）即可“一证启动”；通过市政务服务平台获取申请资料，减少提资和办电往返。</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福州供电公司鼓楼供电服务中心、区数字办</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21</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压缩获得电力时间。</w:t>
            </w:r>
            <w:r>
              <w:rPr>
                <w:rStyle w:val="15"/>
                <w:rFonts w:hint="default" w:hAnsi="宋体"/>
              </w:rPr>
              <w:t>加快客户办电业务的办理速度，指导客户合理确定用电申请容量、科学选择标准化的设备和设施。实现大中型企业客户、小微企业客户平均接电时间分别不超过60天和7天。</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福州供电公司</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鼓楼供电服务中心</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鼓楼公安分局、区建设局、区城管局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陈宗伟</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567"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22</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降低获得电力费用</w:t>
            </w:r>
            <w:r>
              <w:rPr>
                <w:rStyle w:val="15"/>
                <w:rFonts w:hint="default" w:hAnsi="宋体"/>
              </w:rPr>
              <w:t>。落实低压接入容量标准提升至160千瓦。</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福州供电公司鼓楼供电服务中心</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陈宗伟</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23</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（八）</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获得信贷</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加大对实体经济的流动性支持。</w:t>
            </w:r>
            <w:r>
              <w:rPr>
                <w:rStyle w:val="15"/>
                <w:rFonts w:hint="default" w:hAnsi="宋体"/>
              </w:rPr>
              <w:t>继续发挥各级企业应急转贷资金作用，及时为企业提供必要的流动性支持。发挥省、市企业纾困基金作用，防控涉众型金融风险，打好防范金融风险攻坚战。</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区金融办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区工信局、各街镇及园区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侯赛忠</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72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24</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推广创新金融产品。</w:t>
            </w:r>
            <w:r>
              <w:rPr>
                <w:rStyle w:val="15"/>
                <w:rFonts w:hint="default" w:hAnsi="宋体"/>
              </w:rPr>
              <w:t>积极推广续贷产品、园区企业资产按揭贷款、小微快贷、中小微企业综合金融服务试点等产品。</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区金融办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各街镇及园区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侯赛忠</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25</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拓宽直接融资渠道。</w:t>
            </w:r>
            <w:r>
              <w:rPr>
                <w:rStyle w:val="15"/>
                <w:rFonts w:hint="default" w:hAnsi="宋体"/>
              </w:rPr>
              <w:t>做好企业上市跟踪服务，关注瑞芯微等IPO动态，争取有更多企业进入上市实质进程。推动软件园基金大厦、海峡基金港等综合服务平台建设，合力打造基金服务及管理的综合性平台。</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区金融办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各街镇及园区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侯赛忠</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72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26</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r>
              <w:rPr>
                <w:rFonts w:hint="eastAsia" w:ascii="仿宋_GB2312" w:hAnsi="宋体" w:cs="仿宋_GB2312"/>
                <w:b/>
                <w:color w:val="000000"/>
                <w:kern w:val="0"/>
                <w:sz w:val="20"/>
              </w:rPr>
              <w:t>（八）</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获得信贷</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提高融资便利。</w:t>
            </w:r>
            <w:r>
              <w:rPr>
                <w:rStyle w:val="15"/>
                <w:rFonts w:hint="default" w:hAnsi="宋体"/>
              </w:rPr>
              <w:t>协同财政部门落实融资担保公司风险补偿政策，推动融资担保公司有效运营。</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区金融办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区财政局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侯赛忠</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27</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推动增加有效贷款。</w:t>
            </w:r>
            <w:r>
              <w:rPr>
                <w:rStyle w:val="15"/>
                <w:rFonts w:hint="default" w:hAnsi="宋体"/>
              </w:rPr>
              <w:t>落实与福建海峡银行等金融机构合作，鼓励和引导金融机构加大对小微企业信贷投放；加强政银企合作，推动项目对接；落实金融奖励政策。</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区金融办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区工信局、区财政局，各街镇及园区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侯赛忠</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28</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推进信用数据共享与应用。</w:t>
            </w:r>
            <w:r>
              <w:rPr>
                <w:rStyle w:val="15"/>
                <w:rFonts w:hint="default" w:hAnsi="宋体"/>
              </w:rPr>
              <w:t>推动税务、市场监管、司法、环保等信息互联互通，支持海峡银行试点研发推广“信易贷”等产品和模式。</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区发改局（信用办）</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区金融办、区税务局、区市场监管局、区司法局、区生态环境局等区直信用成员单位</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72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29</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指导辖区供应链体系项目建设。</w:t>
            </w:r>
            <w:r>
              <w:rPr>
                <w:rStyle w:val="15"/>
                <w:rFonts w:hint="default" w:hAnsi="宋体"/>
              </w:rPr>
              <w:t>实施项目专人负责制，加强项目管理，每月统计项目建设进度，指导辖区内企业加快完成项目建设。</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区商务局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区工信局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高勇坤</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72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30</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加强供应链发展基础建设。</w:t>
            </w:r>
            <w:r>
              <w:rPr>
                <w:rStyle w:val="15"/>
                <w:rFonts w:hint="default" w:hAnsi="宋体"/>
              </w:rPr>
              <w:t>持续增强大数据创新能力，推动辖区产业集群发展。</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区商务局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高勇坤</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31</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加强知识产权金融服务。</w:t>
            </w:r>
            <w:r>
              <w:rPr>
                <w:rStyle w:val="15"/>
                <w:rFonts w:hint="default" w:hAnsi="宋体"/>
              </w:rPr>
              <w:t>推进安排开展企业专利权质押贷款贴息；加大宣传培训，组织召开企业专利权质押贷款普及培训2场次以上；鼓励和支持金融机构广泛开展知识产权质押融资业务，加大中介机构人才队伍建设。</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区市场监督管理局（知识产权局）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区金融办</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32</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（九）纳税</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压缩企业办税环节和时间。</w:t>
            </w:r>
            <w:r>
              <w:rPr>
                <w:rStyle w:val="12"/>
                <w:rFonts w:hint="default" w:hAnsi="宋体"/>
              </w:rPr>
              <w:t>压缩企业办税环节和时间。推动实现“最多跑一趟”省、市、县（区）、乡全覆盖，2019年12月底前70%以上涉税事项实现一次办结。合理简并申报缴税次数，缩短附报时间，简化附报流程。实现实名办税信息采集与公安部国家人口基础信息库的实时比对，进一步简并纳税人附报资料。年底前将纳税时间压减至160小时。</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区税务局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吴圣杰</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33</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（九）纳税</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减税。</w:t>
            </w:r>
            <w:r>
              <w:rPr>
                <w:rStyle w:val="12"/>
                <w:rFonts w:hint="default" w:hAnsi="宋体"/>
              </w:rPr>
              <w:t>深化增值税改革，将制造业等行业现行16%的税率降至13%，将交通运输业、建筑业等行业现行10%的税率降至9%，全面落实各项减税政策，对符合房产税、城镇土地使用税困难减免条件的，应予减免，做到应享尽享；符合国家调整产业结构和土地集约利用要求、纳税确有困难的企业，可申请减征或免征城镇土地使用税。</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区税务局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吴圣杰</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14"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34</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打造“互联网+税务”。</w:t>
            </w:r>
            <w:r>
              <w:rPr>
                <w:rStyle w:val="12"/>
                <w:rFonts w:hint="default" w:hAnsi="宋体"/>
              </w:rPr>
              <w:t>提供功能更加全面、办税更加便捷的网上办税系统，进一步拓展“一网通办”的范围，网上办税率提高至80%。</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区税务局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吴圣杰</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14"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35</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推进电子税务局建设。</w:t>
            </w:r>
            <w:r>
              <w:rPr>
                <w:rStyle w:val="12"/>
                <w:rFonts w:hint="default" w:hAnsi="宋体"/>
              </w:rPr>
              <w:t>实现界面标准统一、业务标准统一、数据标准统一、财务报表转换统一的优化电子税务局。</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区税务局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吴圣杰</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14"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36</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拓展多元化缴税方式</w:t>
            </w:r>
            <w:r>
              <w:rPr>
                <w:rStyle w:val="12"/>
                <w:rFonts w:hint="default" w:hAnsi="宋体"/>
              </w:rPr>
              <w:t>。完成网上银行、手机银行缴费，推进支付宝和微信等多元化缴税方式。落实完成云闪付APP开发上线。</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区税务局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吴圣杰</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14"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37</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进一步推进自助办税服务。</w:t>
            </w:r>
            <w:r>
              <w:rPr>
                <w:rStyle w:val="12"/>
                <w:rFonts w:hint="default" w:hAnsi="宋体"/>
              </w:rPr>
              <w:t>区税务分局（所）根据实际情况设立办税服务厅延伸点。</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区税务局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吴圣杰</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14"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38</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压缩个人不动产交易办税时间。</w:t>
            </w:r>
            <w:r>
              <w:rPr>
                <w:rStyle w:val="12"/>
                <w:rFonts w:hint="default" w:hAnsi="宋体"/>
              </w:rPr>
              <w:t>整合不动产交易、办税、办证业务流程，压缩个人不动产交易涉税业务办理时间。</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区税务局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吴圣杰</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39</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保护中小</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投资者</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6"/>
                <w:rFonts w:hint="default" w:hAnsi="宋体"/>
              </w:rPr>
              <w:t>畅通维权救济渠道。</w:t>
            </w:r>
            <w:r>
              <w:rPr>
                <w:rStyle w:val="15"/>
                <w:rFonts w:hint="default" w:hAnsi="宋体"/>
              </w:rPr>
              <w:t>明确市场主体投诉处理首要责任，畅通投资者沟通渠道。重点关注中小股东提请的诉讼案件，支持行业协会、中介机构协助中小股东处理股权纠纷、商事纠纷等。支持中证中小投资者服务中心开展工作，为其提供必要的业务指导和帮助。</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区市场监管局、区金融办</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208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40</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（十一）</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办理破产</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6"/>
                <w:rFonts w:hint="default" w:hAnsi="宋体"/>
              </w:rPr>
              <w:t>发挥企业破产和信贷风险处置工作统一协调机制作用。</w:t>
            </w:r>
            <w:r>
              <w:rPr>
                <w:rStyle w:val="15"/>
                <w:rFonts w:hint="default" w:hAnsi="宋体"/>
              </w:rPr>
              <w:t>建立符合法律和市场经济规律的“僵尸企业”识别机制，积极清理“僵尸企业”。进一步健全破产案件处置府院联动运行机制，设立法院与政府联络专线，在法院发起要求所涉政府部门解决有关问题时有专人负责并能限时回应和解决，有效解决破产（僵尸）企业职工安置、金融风险防控、维稳等社会问题，保障破产等程序顺利推进。</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区检察院、区发改局、区工信局、鼓楼公安分局、区司法局、区财政局、区人社局、区建设局、区市场监管局、区税务局、区房管局、区金融办、区信访局等区直有关部门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14"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41</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r>
              <w:rPr>
                <w:rFonts w:hint="eastAsia" w:ascii="仿宋_GB2312" w:hAnsi="宋体" w:cs="仿宋_GB2312"/>
                <w:b/>
                <w:color w:val="000000"/>
                <w:kern w:val="0"/>
                <w:sz w:val="20"/>
              </w:rPr>
              <w:t>（十一）</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办理破产</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健全破产审判工作机制。</w:t>
            </w:r>
            <w:r>
              <w:rPr>
                <w:rStyle w:val="15"/>
                <w:rFonts w:hint="default" w:hAnsi="宋体"/>
              </w:rPr>
              <w:t>推动破产专项基金设立，专项用于援助或垫付破产重整费用。</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区财政局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14"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42</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发挥破产审判功能。</w:t>
            </w:r>
            <w:r>
              <w:rPr>
                <w:rStyle w:val="15"/>
                <w:rFonts w:hint="default" w:hAnsi="宋体"/>
              </w:rPr>
              <w:t>在成立破产案件专业合议庭基础上，继续推动破产案件简化审、破产案件绩效考核等配套机制落地见效。</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43</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维护破产企业合法权益。</w:t>
            </w:r>
            <w:r>
              <w:rPr>
                <w:rStyle w:val="15"/>
                <w:rFonts w:hint="default" w:hAnsi="宋体"/>
              </w:rPr>
              <w:t>对人民法院裁定终止执行重整计划并宣告债务人破产的，经法定清算后，对无法清缴的欠税，由破产管理人提出申请，税务机关按规定程序办理死欠核销。企业破产重整和和解成功后，破产管理人凭法院文书提出申请，有关部门及时为企业更新信息修复信用记录，解除银行基本账户限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区工信局、区司法局、区市场监管局、区税务局等区直有关部门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02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44</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压缩办理破产时限。</w:t>
            </w:r>
            <w:r>
              <w:rPr>
                <w:rStyle w:val="15"/>
                <w:rFonts w:hint="default" w:hAnsi="宋体"/>
              </w:rPr>
              <w:t>对于适用简易程序的破产案件，原则上审理期限不超过三个月，对于其他破产案件，原则上至破产案件裁定终结期限不超过300天，结案后一年内处理完所有遗留清算事项，依法注销破产企业。</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鼓楼公安分局、区财政局、区信访局、区税务局、区市场监管局、区金融办</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45</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（十二）</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执行合同</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完善多元化纠纷解决机制。</w:t>
            </w:r>
            <w:r>
              <w:rPr>
                <w:rStyle w:val="15"/>
                <w:rFonts w:hint="default" w:hAnsi="宋体"/>
              </w:rPr>
              <w:t>进一步发挥多元调处中心作用，继续扩大人民调解团队，与鼓楼区归国华侨联合会联合签署《关于建立涉侨民商事纠纷诉调对接多元化解机制协作协议》，成立涉侨诉调对接办公室，将涉外特别涉台民事案件分流至对接办公室调解。</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区司法局、区贸促会等</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72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46</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破解执行难问题。</w:t>
            </w:r>
            <w:r>
              <w:rPr>
                <w:rStyle w:val="15"/>
                <w:rFonts w:hint="default" w:hAnsi="宋体"/>
              </w:rPr>
              <w:t>强化执行协调联动，加快破解执行难工作联动机制建设、执行查控体系建设、联合惩戒机制建设等,完善综合治理执行难的大格局。部署集中执行、专项执行行动, 加大执行强制力度,解决执行突出问题。健全智慧执行、高效执行、规范执行、阳光执行和认同执行“五项执行机制”，推动执行工作持续发展。</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区发改局、区民政局、区人社局、区市场监管局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27"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47</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推动解决律师取证难问题。</w:t>
            </w:r>
            <w:r>
              <w:rPr>
                <w:rStyle w:val="15"/>
                <w:rFonts w:hint="default" w:hAnsi="宋体"/>
              </w:rPr>
              <w:t>召开相关部门的联席会议，建立协调联动机制，保障律师调查取证权。</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区司法局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鼓楼公安分局、区法院、区检察院等区直有关部门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王建军</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诚</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48</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r>
              <w:rPr>
                <w:rFonts w:hint="eastAsia" w:ascii="仿宋_GB2312" w:hAnsi="宋体" w:cs="仿宋_GB2312"/>
                <w:b/>
                <w:color w:val="000000"/>
                <w:kern w:val="0"/>
                <w:sz w:val="20"/>
              </w:rPr>
              <w:t>（十二）</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执行合同</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打造现代化诉讼服务体系。</w:t>
            </w:r>
            <w:r>
              <w:rPr>
                <w:rStyle w:val="15"/>
                <w:rFonts w:hint="default" w:hAnsi="宋体"/>
              </w:rPr>
              <w:t>落实执行上级法院的部署要求，推进跨域立案、网上立案工作。打造一站式文书集约送达服务。</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区发改局、区民政局、区人社局、区市场监管局、区金融办</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908"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49</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完善执行配套措施。</w:t>
            </w:r>
            <w:r>
              <w:rPr>
                <w:rStyle w:val="15"/>
                <w:rFonts w:hint="default" w:hAnsi="宋体"/>
              </w:rPr>
              <w:t>完善执行救助保险,加大对困难群体的司法救助。推广执行悬赏,加强执行过程中查人找物力度。强化执行宣传,营造全社会关心执行、关注执行、支持执行的舆论氛围。</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区发改局、区民政局、区人社局、区市场监管局、区金融办</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50</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仿宋_GB2312" w:hAnsi="宋体" w:cs="仿宋_GB2312"/>
                <w:b/>
                <w:color w:val="000000"/>
                <w:sz w:val="20"/>
              </w:rPr>
            </w:pPr>
            <w:r>
              <w:rPr>
                <w:rStyle w:val="16"/>
                <w:rFonts w:hint="default" w:hAnsi="宋体"/>
              </w:rPr>
              <w:t>降低商业纠纷诉讼成本。</w:t>
            </w:r>
            <w:r>
              <w:rPr>
                <w:rStyle w:val="15"/>
                <w:rFonts w:hint="default" w:hAnsi="宋体"/>
              </w:rPr>
              <w:t>根据上级法院部署，完善“网格化+”司法模式。融合升级诉讼服务平台。我院安排一名录入员专门负责热线接听及回答。当事人用电话拨打12368，按语音提示操作即可联系我院工作人员并形成一个工单，法院办理工单过程来电后能当下回复的立即回复，无法回复的查询后3个工作日后予以答复。</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27"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51</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仿宋_GB2312" w:hAnsi="宋体" w:cs="仿宋_GB2312"/>
                <w:b/>
                <w:color w:val="000000"/>
                <w:sz w:val="20"/>
              </w:rPr>
            </w:pPr>
            <w:r>
              <w:rPr>
                <w:rStyle w:val="16"/>
                <w:rFonts w:hint="default" w:hAnsi="宋体"/>
              </w:rPr>
              <w:t>进一步解决司法鉴定问题。</w:t>
            </w:r>
            <w:r>
              <w:rPr>
                <w:rStyle w:val="15"/>
                <w:rFonts w:hint="default" w:hAnsi="宋体"/>
              </w:rPr>
              <w:t>根据福州市部署要求，及时对鉴定时间过长的案件进行跟踪，保持与鉴定单位沟通联系，缩减鉴定时间。</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14"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52</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推进院校法官助理工作。</w:t>
            </w:r>
            <w:r>
              <w:rPr>
                <w:rStyle w:val="11"/>
                <w:rFonts w:hint="default" w:hAnsi="宋体"/>
              </w:rPr>
              <w:t>扩大与高校合作，引进30-40名在校研究生，缓解案多人少矛盾。</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53</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对“智慧司法云”平台进行全面改版，升级为“智慧司法云</w:t>
            </w:r>
            <w:r>
              <w:rPr>
                <w:rStyle w:val="18"/>
                <w:rFonts w:hint="default"/>
              </w:rPr>
              <w:t>•</w:t>
            </w:r>
            <w:r>
              <w:rPr>
                <w:rStyle w:val="16"/>
                <w:rFonts w:hint="default" w:hAnsi="宋体"/>
              </w:rPr>
              <w:t>鼓法e点通”平台。</w:t>
            </w:r>
            <w:r>
              <w:rPr>
                <w:rStyle w:val="15"/>
                <w:rFonts w:hint="default" w:hAnsi="宋体"/>
              </w:rPr>
              <w:t>新增公安部安全认证，采用“手机号+身份证+人脸识别+实人认证+律师执业资格证”等多种安全认证方式，以实人、实名、实证以及人证合一方式确保当事人及律师身份的真实性、有效性和安全性，支撑当事人和律师都可以享受网上立案的便利。</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54</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缩短执行合同整体时间。</w:t>
            </w:r>
            <w:r>
              <w:rPr>
                <w:rStyle w:val="15"/>
                <w:rFonts w:hint="default" w:hAnsi="宋体"/>
              </w:rPr>
              <w:t>强化案件繁简分流，完善多元化纠纷解决机制，加强审判辅助人员队伍建设，推进信息化、大数据、人工智能与法院工作融合，健全电子送达平台，提高审执工作质效，实现执行合同时间压缩至425天。</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588"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55</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加强商事审判工作。</w:t>
            </w:r>
            <w:r>
              <w:rPr>
                <w:rStyle w:val="12"/>
                <w:rFonts w:hint="default" w:hAnsi="宋体"/>
              </w:rPr>
              <w:t>提升审限意识，依法公正高效审理涉企纠纷案件；支持推动企业维权服务、法律咨询平台建设。</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576"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56</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r>
              <w:rPr>
                <w:rFonts w:hint="eastAsia" w:ascii="仿宋_GB2312" w:hAnsi="宋体" w:cs="仿宋_GB2312"/>
                <w:b/>
                <w:color w:val="000000"/>
                <w:kern w:val="0"/>
                <w:sz w:val="20"/>
              </w:rPr>
              <w:t>（十二）</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执行合同</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保障企业自主创新成果。</w:t>
            </w:r>
            <w:r>
              <w:rPr>
                <w:rStyle w:val="12"/>
                <w:rFonts w:hint="default" w:hAnsi="宋体"/>
              </w:rPr>
              <w:t>加强知识产权审判，总结发布典型案例。</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57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57</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严格落实普法责任制。</w:t>
            </w:r>
            <w:r>
              <w:rPr>
                <w:rStyle w:val="12"/>
                <w:rFonts w:hint="default" w:hAnsi="宋体"/>
              </w:rPr>
              <w:t>走访企业，深入开展司法“六进”活动，拓宽网络平台和微博微信等新兴传播渠道，宣传优化营商工作。</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194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58</w:t>
            </w:r>
          </w:p>
        </w:tc>
        <w:tc>
          <w:tcPr>
            <w:tcW w:w="12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（十三）</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降低企业</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运营成本</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降费。</w:t>
            </w:r>
            <w:r>
              <w:rPr>
                <w:rStyle w:val="15"/>
                <w:rFonts w:hint="default" w:hAnsi="宋体"/>
              </w:rPr>
              <w:t>国家规定的涉企行政事业性收费按下限标准执行，除赔（补）偿性质外的省定涉企行政事业性收费实行“零收费”。政府部门组织企业参加的培训班，未经批准不得向企业收取培训费。加大涉企保证金清理力度，凡不在公布的福建省政府部门涉企保证金目录清单内的项目一律取消，对违规收取以及逾期未返还的保证金应及时全额返还企业。专项治理政府部门下属单位、行业协会商会、中介机构等乱收费行为，行业协会不得强制企业入会或违规收费。</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区财政局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区工信局、区人社局、区建设局、区民政局、区市场监管局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柳向阳</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667"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59</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降低企业运营成本。</w:t>
            </w:r>
            <w:r>
              <w:rPr>
                <w:rStyle w:val="15"/>
                <w:rFonts w:hint="default" w:hAnsi="宋体"/>
              </w:rPr>
              <w:t>根据市里要求，稳定本辖区社保缴费方式，延用社保缴费基数，平稳调整最低工资标准。落实降低社保费率、社保补贴的政策，确保总体不增加企业负担。对已按规定按时缴纳社会保险费的暂时困难企业（“僵尸企业”除外），经批准可缓缴医疗、失业、生育保险费，缓缴期限暂定12个月。专项治理政府部门和国有企业拖欠民营企业资金问题。</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区人社局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56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60</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企业用工成本。</w:t>
            </w:r>
            <w:r>
              <w:rPr>
                <w:rStyle w:val="15"/>
                <w:rFonts w:hint="default" w:hAnsi="宋体"/>
              </w:rPr>
              <w:t>企业支付员工的工资支出占总营收的比重。</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区统计局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琳</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61</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（十四）</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市场监管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创新监管方式。</w:t>
            </w:r>
            <w:r>
              <w:rPr>
                <w:rStyle w:val="15"/>
                <w:rFonts w:hint="default" w:hAnsi="宋体"/>
              </w:rPr>
              <w:t>健全</w:t>
            </w:r>
            <w:bookmarkStart w:id="0" w:name="_GoBack"/>
            <w:bookmarkEnd w:id="0"/>
            <w:r>
              <w:rPr>
                <w:rStyle w:val="15"/>
                <w:rFonts w:hint="eastAsia" w:hAnsi="宋体"/>
                <w:lang w:eastAsia="zh-CN"/>
              </w:rPr>
              <w:t>“双随机、一公开”</w:t>
            </w:r>
            <w:r>
              <w:rPr>
                <w:rStyle w:val="15"/>
                <w:rFonts w:hint="default" w:hAnsi="宋体"/>
              </w:rPr>
              <w:t>监管方式。除涉及重大违纪违法案件查处及安全、环保、食品药品、税收等必要性的法定事项检查外，一般不对民营企业进行检查、督查、考核，减少检查人员、检查时间、检查频次，给企业“宁静时间”生产经营。</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区直有关部门主要领导</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相关分管区领导</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9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62</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加强信息平台建设。</w:t>
            </w:r>
            <w:r>
              <w:rPr>
                <w:rStyle w:val="15"/>
                <w:rFonts w:hint="default" w:hAnsi="宋体"/>
              </w:rPr>
              <w:t>持续开展信用信息共享归集、信用修复和异议处理。</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区发改局（信用办）</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79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63</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建立市场主体准入前信用承诺制度</w:t>
            </w:r>
            <w:r>
              <w:rPr>
                <w:rStyle w:val="15"/>
                <w:rFonts w:hint="default" w:hAnsi="宋体"/>
              </w:rPr>
              <w:t>。强化信用承诺作为信用监管的事前约束机制。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区发改局（信用办）</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区市场监管局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09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64</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r>
              <w:rPr>
                <w:rFonts w:hint="eastAsia" w:ascii="仿宋_GB2312" w:hAnsi="宋体" w:cs="仿宋_GB2312"/>
                <w:b/>
                <w:color w:val="000000"/>
                <w:kern w:val="0"/>
                <w:sz w:val="20"/>
              </w:rPr>
              <w:t>（十四）</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市场监管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继续完善金融领域守信激励失信惩戒机制</w:t>
            </w:r>
            <w:r>
              <w:rPr>
                <w:rStyle w:val="15"/>
                <w:rFonts w:hint="default" w:hAnsi="宋体"/>
              </w:rPr>
              <w:t>。对“金融机构关注度高、时间节点性强、对防范信贷风险有重要意义”的领域继续推进非银行信息互联共享。构建守信联合激励和失信联合惩戒协同机制。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区发改局（信用办）</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区市场监管局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区金融办</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02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65</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构建信用监管体系。</w:t>
            </w:r>
            <w:r>
              <w:rPr>
                <w:rStyle w:val="15"/>
                <w:rFonts w:hint="default" w:hAnsi="宋体"/>
              </w:rPr>
              <w:t>推动建立健全各行业各领域红黑名单认定，依法公示经营异常名录。探索建立信用约束向失信企业法定代表人、股东和高级管理人员等自然人延伸的制度。</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区发改局（信用办）</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区市场监管局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98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66</w:t>
            </w:r>
          </w:p>
        </w:tc>
        <w:tc>
          <w:tcPr>
            <w:tcW w:w="12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（十五）</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政府采购</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提高政府采购透明度。</w:t>
            </w:r>
            <w:r>
              <w:rPr>
                <w:rStyle w:val="12"/>
                <w:rFonts w:hint="default" w:hAnsi="宋体"/>
              </w:rPr>
              <w:t>推进政府采购信息公开共享，提高政府采购在线访问信息和服务的效率和透明度。探索“互联网+政府采购”，促进政府采购与互联网融合。</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区财政局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柳向阳</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6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67</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提高政府采购市场上中小企业参与度。</w:t>
            </w:r>
            <w:r>
              <w:rPr>
                <w:rStyle w:val="12"/>
                <w:rFonts w:hint="default" w:hAnsi="宋体"/>
              </w:rPr>
              <w:t>组织开展全区政府采购政策文件清理，落实政府采购政策功能，降低中小企业参与政府采购活动成本。</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区财政局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柳向阳</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79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68</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建立公平有效的政府采购投诉机制。</w:t>
            </w:r>
            <w:r>
              <w:rPr>
                <w:rStyle w:val="12"/>
                <w:rFonts w:hint="default" w:hAnsi="宋体"/>
              </w:rPr>
              <w:t>畅通投诉检举渠道，推进监督检查和投诉处理标准化建设工作，推进投诉处理专业化机制建设。</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区财政局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柳向阳</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69</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（十六）</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招标投标</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规范招投标准入机制。</w:t>
            </w:r>
            <w:r>
              <w:rPr>
                <w:rStyle w:val="12"/>
                <w:rFonts w:hint="default" w:hAnsi="宋体"/>
              </w:rPr>
              <w:t>推进规范性文件清理、合法性审查和公平竞争审查工作；推动省内外信用分统一规范使用；消除在招标投标过程中关于区域的各种限制做法，不得以限定投标人所在地、所有制、组织形式，排斥或者限制潜在投标人参与招标投标活动。</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区建设局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区工信局、区财政局、区自然资源和规划局、区商务局等区直有关部门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70</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（十七）</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政务服务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打造“15分钟便民服务圈”。</w:t>
            </w:r>
            <w:r>
              <w:rPr>
                <w:rStyle w:val="15"/>
                <w:rFonts w:hint="default" w:hAnsi="宋体"/>
              </w:rPr>
              <w:t>行政服务中心各窗口以及10个试点社区配备自助服务设施，推行全流程自助服务，方便办理相关行政审批和服务事项。</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71</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提升网上政务服务能力。</w:t>
            </w:r>
            <w:r>
              <w:rPr>
                <w:rStyle w:val="15"/>
                <w:rFonts w:hint="default" w:hAnsi="宋体"/>
              </w:rPr>
              <w:t>持续提升市网上办事大厅“一网通办”水平，2019年底前助力市级自建审批系统与省网上办事大厅实现100%政务数据汇聚共享，审批服务事项全面实现“一网通办”，实现区级审批服务事项网上可办率不低于90%。</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0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72</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r>
              <w:rPr>
                <w:rFonts w:hint="eastAsia" w:ascii="仿宋_GB2312" w:hAnsi="宋体" w:cs="仿宋_GB2312"/>
                <w:b/>
                <w:color w:val="000000"/>
                <w:kern w:val="0"/>
                <w:sz w:val="20"/>
              </w:rPr>
              <w:t>（十七）</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政务服务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提高政务服务事项便利度。</w:t>
            </w:r>
            <w:r>
              <w:rPr>
                <w:rStyle w:val="15"/>
                <w:rFonts w:hint="default" w:hAnsi="宋体"/>
              </w:rPr>
              <w:t>贯彻推行“一号通认、一码通行”，让企业和群众网上办事“一次认证、全省漫游”，自然人凭公民身份号码、企业凭统一社会信用代码即可登录各类网上办事平台，办理个人和涉企便民服务事项。</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区行政服务中心管委会等区直有关部门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73</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提高政务服务满意度。</w:t>
            </w:r>
            <w:r>
              <w:rPr>
                <w:rStyle w:val="15"/>
                <w:rFonts w:hint="default" w:hAnsi="宋体"/>
              </w:rPr>
              <w:t>实现50个高频事项实现“一趟不用跑”、100个高频事项实现“最多跑一趟”。70%以上审批服务事项实现“一窗”分类受理。</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8"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74</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推进政务平台数据共享。</w:t>
            </w:r>
            <w:r>
              <w:rPr>
                <w:rStyle w:val="15"/>
                <w:rFonts w:hint="default" w:hAnsi="宋体"/>
              </w:rPr>
              <w:t>依托省、市电子政务外网构建，组织重新对各单位政务资源目录进行调研梳理。</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3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75</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优化网上办事服务流程。</w:t>
            </w:r>
            <w:r>
              <w:rPr>
                <w:rStyle w:val="12"/>
                <w:rFonts w:hint="default" w:hAnsi="宋体"/>
              </w:rPr>
              <w:t>推进在线填报、在线提交、在线审查以及办事材料目录化、标准化、电子化，凡是能通过网络共享复用或核验的材料，不再要求重复提交，更多事项实现全流程网办。</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76</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建成“一体运行”模式，加快实现异构系统数据互通。</w:t>
            </w:r>
            <w:r>
              <w:rPr>
                <w:rStyle w:val="12"/>
                <w:rFonts w:hint="default" w:hAnsi="宋体"/>
              </w:rPr>
              <w:t>以广大群众密切关心的热点、堵点问题为导向，精准定位办理量大、影响大的事项，梳理审批过程中具体业务的业务需求，协助做好</w:t>
            </w:r>
            <w:r>
              <w:rPr>
                <w:rStyle w:val="15"/>
                <w:rFonts w:hint="default" w:hAnsi="宋体"/>
              </w:rPr>
              <w:t>省、市、区三级异构系统数据的交互对接，解决“办事难、材料多”的问题，打破各部门自建系统独立运行的模式，形成纵向垂直联动、横向互通并行的政务服务体系。</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章世长</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06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77</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加大数据共享力度。</w:t>
            </w:r>
            <w:r>
              <w:rPr>
                <w:rStyle w:val="12"/>
                <w:rFonts w:hint="default" w:hAnsi="宋体"/>
              </w:rPr>
              <w:t>按照“一人一档”和“一企一档”要求，依托市级统一数据共享平台、可信电子文件库和市网上办事大厅，为行政单位、企业和群众提供数据查询和调用服务。</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区行政服务中心管委会、区直各相关部门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78</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深化“一窗受理”改革，加快实现综合窗口无差受理。</w:t>
            </w:r>
            <w:r>
              <w:rPr>
                <w:rStyle w:val="12"/>
                <w:rFonts w:hint="default" w:hAnsi="宋体"/>
              </w:rPr>
              <w:t>持续推进异构系统与一窗受理系统的深度融合，形成“一套系统综合受理，异构系统分流审批”的系统架构。</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79</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（十七）</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政务服务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构建“一窗联办”模式，加快实现套餐服务优化升级。</w:t>
            </w:r>
            <w:r>
              <w:rPr>
                <w:rStyle w:val="12"/>
                <w:rFonts w:hint="default" w:hAnsi="宋体"/>
              </w:rPr>
              <w:t>以需求为导向，结合部门业务之间的关联性，推出“多证合办”、“一事一办”等特色服务，缩短复杂业务的办结时限，减小企业和群众的办事成本，充分节约行政资源，打造个性化、集成化、便民化的新型政务服务模式。</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80</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依法开展证照关联性的梳理汇总工作。</w:t>
            </w:r>
            <w:r>
              <w:rPr>
                <w:rStyle w:val="12"/>
                <w:rFonts w:hint="default" w:hAnsi="宋体"/>
              </w:rPr>
              <w:t>有序推进各类证照的合并工作，逐步形成一批行业通用、领域通用、多部门认可的融合型证照和批文，有效实现减证便民。</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81</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整合“多证合一”目录，加快实现多个场景“一证通行”。</w:t>
            </w:r>
            <w:r>
              <w:rPr>
                <w:rStyle w:val="12"/>
                <w:rFonts w:hint="default" w:hAnsi="宋体"/>
              </w:rPr>
              <w:t>通过人口库、法人库、电子证照库的信息共享和电子证照技术的应用，逐步实现个人身份证、法人营业执照与多部门证照的绑定和关联，做到大部分事项现场办事“一证通行”。</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82</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推行“异地网办”服务，加快实现异地办事线上申请。</w:t>
            </w:r>
            <w:r>
              <w:rPr>
                <w:rStyle w:val="12"/>
                <w:rFonts w:hint="default" w:hAnsi="宋体"/>
              </w:rPr>
              <w:t>协助打通市、区两级政务服务平台与异地人口库、法人库、证照库等基础库的数据通道，畅通全区事项的异地网上申办渠道，通过扩大网办服务的地域覆盖范围，完善异地用户身份认证体系，让外地人员和企业在市网上办事大厅也可以享受到与现场申请办理同等待遇的优质服务。</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83</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加大自助终端研发力度。</w:t>
            </w:r>
            <w:r>
              <w:rPr>
                <w:rStyle w:val="12"/>
                <w:rFonts w:hint="default" w:hAnsi="宋体"/>
              </w:rPr>
              <w:t>助力实现“一机多能、一机多办”的智能化社区终端设备，为社区群众提供优质高效的24小时自助服务。</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章世长</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84</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打造“无纸审批”服务，加快实现电子审批全面应用</w:t>
            </w:r>
            <w:r>
              <w:rPr>
                <w:rStyle w:val="12"/>
                <w:rFonts w:hint="default" w:hAnsi="宋体"/>
              </w:rPr>
              <w:t>。依托市网上办事大厅和全市政务服务管理平台，进一步拓展电子签章、电子证照、电子签名等支撑技术的应用空间范围，对政务服务的各个环节开展“无纸化”改造，按照业务登记无纸化，审批环节无纸化，办理结果无纸化的要求，建立“线上申报、线上出件、线上归档”的全流程电子化审批模式。</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85</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（十七）</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政务服务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创新“智慧审批”举措，加快实现审批模式转型升级。</w:t>
            </w:r>
            <w:r>
              <w:rPr>
                <w:rStyle w:val="12"/>
                <w:rFonts w:hint="default" w:hAnsi="宋体"/>
              </w:rPr>
              <w:t>对申请材料明晰、标准明确、可电子化表单化的事项，通过系统比对相关数据，与量化的审查标准进行对比，数据库自动识别，系统智能判定，实行“受理零窗口、审查零人工、领证零上门、归档零材料”的“智慧审批”，引导企业和群众自助办事。</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86</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开放“极速审批”通道，加快实现行政审批保质提速。</w:t>
            </w:r>
            <w:r>
              <w:rPr>
                <w:rStyle w:val="12"/>
                <w:rFonts w:hint="default" w:hAnsi="宋体"/>
              </w:rPr>
              <w:t>对接福州市信用信息平台，在信用联合奖惩的工作基础上服务再升级，针对品牌影响力广、经营规模大、信用评分高的优质企业开通极速审核通道，为企业发展润滑提速，有效促进我区营商环境进一步优化，形成信用体系建设的良性循环。</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87</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开发“智能咨询”系统，加快实现政务咨询智能应答。</w:t>
            </w:r>
            <w:r>
              <w:rPr>
                <w:rStyle w:val="12"/>
                <w:rFonts w:hint="default" w:hAnsi="宋体"/>
              </w:rPr>
              <w:t>依托后台咨询知识库建立智能咨询平台，逐步实现线上客服机器人智能问答、知识库信息自查、服务热线智能转接、短信咨询等智能服务，提升网络互动咨询平台功能，提高热线接通率，整合资源，确保群众诉求第一时间解决。</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智慧鼓楼管理</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服务中心</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陈旭东</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88</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打造“数字政务”生态，加快实现政务数据动态分析。</w:t>
            </w:r>
            <w:r>
              <w:rPr>
                <w:rStyle w:val="15"/>
                <w:rFonts w:hint="default" w:hAnsi="宋体"/>
              </w:rPr>
              <w:t>应用人工智能、云计算、大数据等技术，通过搜集、获取、沉淀数据及服务记录等方式，感知和挖掘办事群众企业需求，充分发挥政务云平台的服务能力和数据资源优势，精准定位数据分析需求。</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94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89</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加快推进电子政务综合改革、公共信息资源开放、政务信息系统整合共享等试点工作。</w:t>
            </w:r>
            <w:r>
              <w:rPr>
                <w:rStyle w:val="12"/>
                <w:rFonts w:hint="default" w:hAnsi="宋体"/>
              </w:rPr>
              <w:t>落实省、市关于实现政务数据中心整合的工作要求，2020年底前，实行统建共享、集中管理。实行“共享为常态，不共享为例外”的信息共享机制，实施公共信息资源资产化管理，完善数据权属、开放共享、交易流通等管理标准和措施。探索通过公开招标、特许经营、委托运营等方式，由市场主体依法依规开展增值信息服务，积极释放数据红利。</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91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90</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r>
              <w:rPr>
                <w:rFonts w:hint="eastAsia" w:ascii="仿宋_GB2312" w:hAnsi="宋体" w:cs="仿宋_GB2312"/>
                <w:b/>
                <w:color w:val="000000"/>
                <w:kern w:val="0"/>
                <w:sz w:val="20"/>
              </w:rPr>
              <w:t>（十七）</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政务服务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深化“鼓楼智脑”建设。</w:t>
            </w:r>
            <w:r>
              <w:rPr>
                <w:rStyle w:val="12"/>
                <w:rFonts w:hint="default" w:hAnsi="宋体"/>
              </w:rPr>
              <w:t>以“鼓楼一张图”为基础，通过汇聚整合经济管理、城市管理、民生事业、综治维稳、人口分布、党建群团、宣传组织等领域的数据和离散的业务系统，构建集“数据汇聚、业务融合、指挥调度、智能分析”于一体的综合应用体系，突破数据壁垒和应用整合两大难题，努力做到对城市治理的综合研判、精准定位、协同联动和高效处置。</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1667"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91</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（十八）</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知识产权创造、保护和运用</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加强产权司法保护。</w:t>
            </w:r>
            <w:r>
              <w:rPr>
                <w:rStyle w:val="15"/>
                <w:rFonts w:hint="default" w:hAnsi="宋体"/>
              </w:rPr>
              <w:t>依法甄别纠正社会反映强烈的产权申诉案件。依法慎用羁押性强制措施和查封、扣押、冻结等措施。坚决防止将经济纠纷当作犯罪处理，防止将民事责任变为刑事责任。对侵害企业产权及企业经营者合法权益的错案冤案，加快甄别纠正。对涉及民营企业产权和民营企业家人身财产的案件，要平等保护、尽快办结。及时公布依法保护民营企业和民营企业家合法权益的典型案例和好做法、好经验。</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区检察院、鼓楼公安分局、区工信局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223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92</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加强知识产权保护措施。</w:t>
            </w:r>
            <w:r>
              <w:rPr>
                <w:rStyle w:val="15"/>
                <w:rFonts w:hint="default" w:hAnsi="宋体"/>
              </w:rPr>
              <w:t>深入推进福州知识产权法庭建设和知识产权民事、行政、刑事“三合一”审判机制建设。推进审判流程信息公开、裁判文书公开、案件庭审直播，发布知识产权保护“白皮书”，建立知识产权审判规则体系。积极推进知识产权多元化纠纷解决机制的完善和运用。加快知识产权网络举报投诉平台建设。强化知识产权保护能力，组织引导律师、公证机构服务知识产权保护。加快建成商标、专利、版权行政执法全流程监管系统。</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区检察院、区司法局、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区市场监管局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（区知识产权局）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93</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提高商标、专利、版权等知识产权创造和运用程度。</w:t>
            </w:r>
            <w:r>
              <w:rPr>
                <w:rStyle w:val="15"/>
                <w:rFonts w:hint="default" w:hAnsi="宋体"/>
              </w:rPr>
              <w:t>指导企业规范使用注册商标，做好知识产权贯标企业培育工作，依托“3.15”、知识产权宣传周等活动促进相关法规宣传和普及。</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（区知识产权局）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区法院、区检察院、区发改局、区教育局、区科技局、区工信局、区卫健局、鼓楼公安分局、区司法局、区商务局、区文体旅局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94</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r>
              <w:rPr>
                <w:rFonts w:hint="eastAsia" w:ascii="仿宋_GB2312" w:hAnsi="宋体" w:cs="仿宋_GB2312"/>
                <w:b/>
                <w:color w:val="000000"/>
                <w:kern w:val="0"/>
                <w:sz w:val="20"/>
              </w:rPr>
              <w:t>（十八）</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知识产权创造、保护和运用</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加强维权援助。</w:t>
            </w:r>
            <w:r>
              <w:rPr>
                <w:rStyle w:val="15"/>
                <w:rFonts w:hint="default" w:hAnsi="宋体"/>
              </w:rPr>
              <w:t>运用“互联网+” 高效开展知识产权维权援助。组织开展专利执法维权“护航”专项行动，依法查处侵犯商业秘密、混淆仿冒等侵犯知识产权不正当竞争行为，依法查处侵权、假冒等知识产权违法行为。</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（区知识产权局）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区法院、区检察院、鼓楼公安分局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2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95</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完善知识产权服务机制。</w:t>
            </w:r>
            <w:r>
              <w:rPr>
                <w:rStyle w:val="15"/>
                <w:rFonts w:hint="default" w:hAnsi="宋体"/>
              </w:rPr>
              <w:t>根据省、市部署要求，落实推动“知创福建”线上线下知识产权一体化公共服务平台建设运营，创建知识产权大数据平台，实现信息数据融合共享。配套积极开展各类专利专项行动,共同完善知识产权公共服务机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（区知识产权局）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区法院、区检察院、鼓楼公安分局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05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96</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（十九）</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劳动力市场监管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加强企业就业监测和就业形势研判。</w:t>
            </w:r>
            <w:r>
              <w:rPr>
                <w:rStyle w:val="15"/>
                <w:rFonts w:hint="default" w:hAnsi="宋体"/>
              </w:rPr>
              <w:t>充分利用大数据技术开展就业监测，加强就业数据和工商、外贸、社保等数据比对分析，进一步完善对辖区内57家企业失业动态监测和8家重点企业用工监测。</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区人社局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03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97</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稳定企业用工。</w:t>
            </w:r>
            <w:r>
              <w:rPr>
                <w:rStyle w:val="15"/>
                <w:rFonts w:hint="default" w:hAnsi="宋体"/>
              </w:rPr>
              <w:t>落实做好企业用工服务工作，各项生产稳定运行企业用工保障奖补工作，对不裁员或少裁员的参保企业，做好返还缴纳失业保险费的优惠政策工作。</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区人社局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各街镇及园区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98</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开展系列公共就业服务。</w:t>
            </w:r>
            <w:r>
              <w:rPr>
                <w:rStyle w:val="15"/>
                <w:rFonts w:hint="default" w:hAnsi="宋体"/>
              </w:rPr>
              <w:t>统一组织就业援助月、春风行动、民营企业招聘周、人力资源市场高校毕业生就业服务周等专场活动；举办大型高校毕业生供需见面会。</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区人社局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各街镇及园区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99</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强化劳动仲裁、调解工作。</w:t>
            </w:r>
            <w:r>
              <w:rPr>
                <w:rStyle w:val="15"/>
                <w:rFonts w:hint="default" w:hAnsi="宋体"/>
              </w:rPr>
              <w:t>确保各类人才服务政策落实到位。街道、社区规范化服务平台全覆盖，劳动调解成功率达到60%以上；劳动仲裁结案率达到90%以上。</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区人社局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区法院，各街镇及园区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100</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促进劳动就业。</w:t>
            </w:r>
            <w:r>
              <w:rPr>
                <w:rStyle w:val="15"/>
                <w:rFonts w:hint="default" w:hAnsi="宋体"/>
              </w:rPr>
              <w:t>加强技能培训，加强企业用工服务，加强人力资源市场建设，根据“双随机”工作安排，做好人力资源市场监管工作，加强人力资源供需对接工作，举办公益性招聘会，促进人力资源合理有序流动。</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区人社局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各街镇及园区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57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101</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做好重点群体就业帮扶。</w:t>
            </w:r>
            <w:r>
              <w:rPr>
                <w:rStyle w:val="15"/>
                <w:rFonts w:hint="default" w:hAnsi="宋体"/>
              </w:rPr>
              <w:t>完成城镇新增就业、城镇失业人员再就业任务指标。</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区人社局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各街镇及园区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03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102</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（十九）</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劳动力市场监管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开展中小企业投资意愿和服务满意度调查。</w:t>
            </w:r>
            <w:r>
              <w:rPr>
                <w:rStyle w:val="15"/>
                <w:rFonts w:hint="default" w:hAnsi="宋体"/>
              </w:rPr>
              <w:t>根据企业对宏观经济走势、市场预期、投融资需求、要素成本（劳动力、能源、原材料）等方面的综合评价，反映中小企业未来投资意愿情况。</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区统计局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琳</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（问卷调查）</w:t>
            </w:r>
          </w:p>
        </w:tc>
      </w:tr>
      <w:tr>
        <w:tblPrEx>
          <w:tblCellMar>
            <w:top w:w="0" w:type="dxa"/>
            <w:left w:w="0" w:type="dxa"/>
            <w:bottom w:w="0" w:type="dxa"/>
            <w:right w:w="0" w:type="dxa"/>
          </w:tblCellMar>
        </w:tblPrEx>
        <w:trPr>
          <w:trHeight w:val="139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103</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鼓励创新创业。</w:t>
            </w:r>
            <w:r>
              <w:rPr>
                <w:rStyle w:val="15"/>
                <w:rFonts w:hint="default" w:hAnsi="宋体"/>
              </w:rPr>
              <w:t>银行业金融机构要加大对符合条件的群体的创业担保贷款支持力度。通过发放一次性创业补贴、给予创业启动资金扶持、支持建设创业孵化基地、设立创业基金等方式，进一步加大对高校毕业生创业的支持力度。</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区人社局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区金融办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区财政局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侯赛忠</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104</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引进人才。</w:t>
            </w:r>
            <w:r>
              <w:rPr>
                <w:rStyle w:val="15"/>
                <w:rFonts w:hint="default" w:hAnsi="宋体"/>
              </w:rPr>
              <w:t>鼓励支持申报省、市、区级各项人才政策；评选区级高层次人才和优秀人才；对能实现重大产业突破的高层次人才团队,可通过“一事一议”方式报请区委、区政府研究同意,对成长性好和业绩突出的团队项目,根据实际需求予以滚动支持或追加资助。</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区委人才办</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区人社局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区财政局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徐  鸿</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林  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郑寅球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667"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105</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人才服务。</w:t>
            </w:r>
            <w:r>
              <w:rPr>
                <w:rStyle w:val="15"/>
                <w:rFonts w:hint="default" w:hAnsi="宋体"/>
              </w:rPr>
              <w:t>深入实施“闽都英才”培育工程，协助做好对高层次人才分类发放“闽都英才卡”工作，保障人才享受子女入学、医疗保健等优惠政策。深入贯彻落实市引进高层次人才八条措施和区鼓励引进人才六条措施、区服务企业“百十千”行动等政策，做好高层次人才服务。</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区委人才办</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区人社局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区委宣传部、区台港澳办、团区委、区教育局、区科技局、区工信局、鼓楼公安分局、区民政局、区财政局、区房管局、区商务局、区卫健局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徐  鸿</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林  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郑寅球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64"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106</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（二十）</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包容普惠</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创新</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增加新登记注册企业数。</w:t>
            </w:r>
            <w:r>
              <w:rPr>
                <w:rStyle w:val="13"/>
                <w:rFonts w:hint="default" w:hAnsi="宋体"/>
              </w:rPr>
              <w:t>根据新登记注册企业数量的增长率，反映企业发展的信心和营商环境促进创业的效果。</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（每月数据采集）</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107</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创新创业吸引度。</w:t>
            </w:r>
            <w:r>
              <w:rPr>
                <w:rStyle w:val="15"/>
                <w:rFonts w:hint="default" w:hAnsi="宋体"/>
              </w:rPr>
              <w:t>地方在资金、政策等方面对创新创业的支持度。</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区统计局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区财政局、区税务局、区商务局、区科技局、区工信局等区直有关部门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琳</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（问卷调查）</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108</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（二十）</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包容普惠</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创新</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推动学前教育普惠发展。</w:t>
            </w:r>
            <w:r>
              <w:rPr>
                <w:rStyle w:val="16"/>
                <w:rFonts w:hint="default" w:hAnsi="宋体"/>
                <w:b w:val="0"/>
                <w:bCs/>
              </w:rPr>
              <w:t>推进延安教育集团幼儿园建设，丞相坊幼儿园创建我区第四个省级示范园。优化政府购买普惠性民办幼儿园教育服务，普惠性学额覆盖率达85%以上。</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区教育局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区发改局、区财政局、区自然资源和规划局、区建设局、区房管局等区直有关部门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翁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  翔</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109</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推进区域义务教育一体化改革发展。</w:t>
            </w:r>
            <w:r>
              <w:rPr>
                <w:rStyle w:val="15"/>
                <w:rFonts w:hint="default" w:hAnsi="宋体"/>
              </w:rPr>
              <w:t>落实完成中心城区中小学布局专项规划编制工作。改扩建中学1所，实施集团化办学专项工作。</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区教育局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区发改局、区财政局、区自然资源和规划局、区建设局、区房管局等区直有关部门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翁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  翔</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110</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支持规范教育培训机构发展。</w:t>
            </w:r>
            <w:r>
              <w:rPr>
                <w:rStyle w:val="16"/>
                <w:rFonts w:hint="default" w:hAnsi="宋体"/>
                <w:b w:val="0"/>
                <w:bCs/>
              </w:rPr>
              <w:t>落实</w:t>
            </w:r>
            <w:r>
              <w:rPr>
                <w:rStyle w:val="15"/>
                <w:rFonts w:hint="default" w:hAnsi="宋体"/>
              </w:rPr>
              <w:t>市教育局关于开展非学历民办教育培训机构诚信评价活动等相关工作，促进教育培训市场健康繁荣发展。</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区教育局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翁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  翔</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0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111</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加强“互联网+医疗服务”建设。</w:t>
            </w:r>
            <w:r>
              <w:rPr>
                <w:rStyle w:val="15"/>
                <w:rFonts w:hint="default" w:hAnsi="宋体"/>
              </w:rPr>
              <w:t>实施“互联网+医疗健康”发展三年行动计划，提升改造基层卫生信息系统功能。依托福建省电子信息集团，率先建成全省首家“互联网+医疗健康”体验中心。</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区卫健局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  勇</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诚</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96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112</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提升就医办医水平。</w:t>
            </w:r>
            <w:r>
              <w:rPr>
                <w:rStyle w:val="15"/>
                <w:rFonts w:hint="default" w:hAnsi="宋体"/>
              </w:rPr>
              <w:t>优先支持社会资本举办非营利性医疗机构，加快形成以非营利性医疗机构为主体、营利性医疗机构为补充的社会资本办医体系。民间资本办医纳入规划范围，明确社会办医的重点领域，为社会资本办医留出足够空间，优先满足社会办非营利性医疗机构需求，积极引入优质医疗资源，进一步优化社会资本办医环境。全面推进医疗机构、医师和护士电子化注册管理。</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区卫健局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  勇</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诚</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772"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113</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实施社区卫生服务中心能力提升工程。</w:t>
            </w:r>
            <w:r>
              <w:rPr>
                <w:rStyle w:val="15"/>
                <w:rFonts w:hint="default" w:hAnsi="宋体"/>
              </w:rPr>
              <w:t>提升改造水部等6家社区卫生服务中心。</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区卫健局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  勇</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诚</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78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114</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开展老城提升行动。</w:t>
            </w:r>
            <w:r>
              <w:rPr>
                <w:rStyle w:val="15"/>
                <w:rFonts w:hint="default" w:hAnsi="宋体"/>
              </w:rPr>
              <w:t>结合老城区改造提升行动，年内计划完成25个老旧小区改造工程。</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区建设局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区房管局，各街镇</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27"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115</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（二十）</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包容普惠</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创新</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仿宋_GB2312" w:hAnsi="宋体" w:cs="仿宋_GB2312"/>
                <w:b/>
                <w:color w:val="000000"/>
                <w:sz w:val="20"/>
              </w:rPr>
            </w:pPr>
            <w:r>
              <w:rPr>
                <w:rStyle w:val="16"/>
                <w:rFonts w:hint="default" w:hAnsi="宋体"/>
              </w:rPr>
              <w:t>完善房地产精准调控政策措施。</w:t>
            </w:r>
            <w:r>
              <w:rPr>
                <w:rStyle w:val="15"/>
                <w:rFonts w:hint="default" w:hAnsi="宋体"/>
              </w:rPr>
              <w:t>落实做好辖区公共租赁住房申请受理及审批工作。</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区房管局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区民政局，各街镇</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  勉</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27"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116</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仿宋_GB2312" w:hAnsi="宋体" w:cs="仿宋_GB2312"/>
                <w:b/>
                <w:color w:val="000000"/>
                <w:sz w:val="20"/>
              </w:rPr>
            </w:pPr>
            <w:r>
              <w:rPr>
                <w:rStyle w:val="16"/>
                <w:rFonts w:hint="default" w:hAnsi="宋体"/>
              </w:rPr>
              <w:t>推进房地产“双稳双促”工作。</w:t>
            </w:r>
            <w:r>
              <w:rPr>
                <w:rStyle w:val="15"/>
                <w:rFonts w:hint="default" w:hAnsi="宋体"/>
              </w:rPr>
              <w:t>结合全区经济增长目标，落实要求促进房地产业的增加值。</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区房管局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各街镇</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  勉</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117</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仿宋_GB2312" w:hAnsi="宋体" w:cs="仿宋_GB2312"/>
                <w:b/>
                <w:color w:val="000000"/>
                <w:sz w:val="20"/>
              </w:rPr>
            </w:pPr>
            <w:r>
              <w:rPr>
                <w:rStyle w:val="16"/>
                <w:rFonts w:hint="default" w:hAnsi="宋体"/>
              </w:rPr>
              <w:t>对计划出让项目，加快房屋征迁进度方面。</w:t>
            </w:r>
            <w:r>
              <w:rPr>
                <w:rStyle w:val="15"/>
                <w:rFonts w:hint="default" w:hAnsi="宋体"/>
              </w:rPr>
              <w:t>依法加快办理房屋征收决定，对在补偿方案规定的协商期内未签订协议的被征收房屋作出征收补偿决定，并依法向法院申请强制执行，“以裁促搬”，加快项目扫尾交地。</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区房管局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区旧改办、区发改局、区财政局、区自然资源和规划局，区属各拆迁办、项目业主单位，各街镇</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  勉</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118</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仿宋_GB2312" w:hAnsi="宋体" w:cs="仿宋_GB2312"/>
                <w:b/>
                <w:color w:val="000000"/>
                <w:sz w:val="20"/>
              </w:rPr>
            </w:pPr>
            <w:r>
              <w:rPr>
                <w:rStyle w:val="16"/>
                <w:rFonts w:hint="default" w:hAnsi="宋体"/>
              </w:rPr>
              <w:t>降低写字楼租赁成本。</w:t>
            </w:r>
            <w:r>
              <w:rPr>
                <w:rStyle w:val="15"/>
                <w:rFonts w:hint="default" w:hAnsi="宋体"/>
              </w:rPr>
              <w:t>引导各街镇、相关部门提供企业房产租赁需求的信息，在鼓楼区楼宇（大厦）工作群中发布，让企业更便捷、多渠道地租赁到办公场所。</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区房管局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区国资中心、软件园，各街镇</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  勉</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72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119</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深入治理“城市病”。</w:t>
            </w:r>
            <w:r>
              <w:rPr>
                <w:rStyle w:val="12"/>
                <w:rFonts w:hint="default" w:hAnsi="宋体"/>
              </w:rPr>
              <w:t>配套实施宜居社区、园林绿化、公共设施配套等示范项目，完成“城市双修”试点工作。</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区自然资源和规划局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区建设局、区房管局、区城管局、区园林中心等区直有关部门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郭  斌</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杨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0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120</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法律、金融中介服务。</w:t>
            </w:r>
            <w:r>
              <w:rPr>
                <w:rStyle w:val="15"/>
                <w:rFonts w:hint="default" w:hAnsi="宋体"/>
              </w:rPr>
              <w:t>积极协调福州市司法局行政审批部门并积极走访知名律师事务所。</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区司法局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王建军</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诚</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537"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121</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提高绿化覆盖率。</w:t>
            </w:r>
            <w:r>
              <w:rPr>
                <w:rStyle w:val="15"/>
                <w:rFonts w:hint="default" w:hAnsi="宋体"/>
              </w:rPr>
              <w:t>绿化覆盖率达到40.92%，梳理改造5条林荫道。</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区园林中心</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李建国</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李正国</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122</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空气质量指数。</w:t>
            </w:r>
            <w:r>
              <w:rPr>
                <w:rStyle w:val="15"/>
                <w:rFonts w:hint="default" w:hAnsi="宋体"/>
              </w:rPr>
              <w:t>全面实施打赢蓝天保卫战三年行动计划，坚持O</w:t>
            </w:r>
            <w:r>
              <w:rPr>
                <w:rStyle w:val="19"/>
                <w:rFonts w:ascii="宋体" w:hAnsi="宋体" w:cs="宋体"/>
                <w:sz w:val="24"/>
                <w:szCs w:val="24"/>
              </w:rPr>
              <w:t>₃</w:t>
            </w:r>
            <w:r>
              <w:rPr>
                <w:rStyle w:val="15"/>
                <w:rFonts w:hint="default" w:hAnsi="宋体"/>
              </w:rPr>
              <w:t>和PM2.5协同控制，深入实施VOCs专项整治等专项行动，有效遏制O</w:t>
            </w:r>
            <w:r>
              <w:rPr>
                <w:rStyle w:val="19"/>
                <w:rFonts w:ascii="宋体" w:hAnsi="宋体" w:cs="宋体"/>
                <w:sz w:val="24"/>
                <w:szCs w:val="24"/>
              </w:rPr>
              <w:t>₃</w:t>
            </w:r>
            <w:r>
              <w:rPr>
                <w:rStyle w:val="15"/>
                <w:rFonts w:hint="default" w:hAnsi="宋体"/>
              </w:rPr>
              <w:t>污染，持续改善空气质量，力争PM2.5年均浓度达到26微克/立方米。</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区生态环境局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区建设局、区自然资源和规划局、区房管局、区城管局、区市场监管局、区商务局、鼓楼交警大队，各街镇及园区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林清松</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郑炳锋</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0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123</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仿宋_GB2312" w:hAnsi="宋体" w:cs="仿宋_GB2312"/>
                <w:b/>
                <w:color w:val="000000"/>
                <w:sz w:val="20"/>
              </w:rPr>
            </w:pPr>
            <w:r>
              <w:rPr>
                <w:rStyle w:val="14"/>
                <w:rFonts w:hint="default" w:hAnsi="宋体"/>
              </w:rPr>
              <w:t>提高城市污水处理率。</w:t>
            </w:r>
            <w:r>
              <w:rPr>
                <w:rStyle w:val="12"/>
                <w:rFonts w:hint="default" w:hAnsi="宋体"/>
              </w:rPr>
              <w:t>落实新建3公里区属随路污水管的工作任务，实现污水处理率达到92.5%。</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区建设局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区城管局，各街镇</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124</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r>
              <w:rPr>
                <w:rFonts w:hint="eastAsia" w:ascii="仿宋_GB2312" w:hAnsi="宋体" w:cs="仿宋_GB2312"/>
                <w:b/>
                <w:color w:val="000000"/>
                <w:kern w:val="0"/>
                <w:sz w:val="20"/>
              </w:rPr>
              <w:t>（二十）</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包容普惠</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创新</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仿宋_GB2312" w:hAnsi="宋体" w:cs="仿宋_GB2312"/>
                <w:b/>
                <w:color w:val="000000"/>
                <w:sz w:val="20"/>
              </w:rPr>
            </w:pPr>
            <w:r>
              <w:rPr>
                <w:rStyle w:val="16"/>
                <w:rFonts w:hint="default" w:hAnsi="宋体"/>
              </w:rPr>
              <w:t>实行市场准入负面清单。</w:t>
            </w:r>
            <w:r>
              <w:rPr>
                <w:rStyle w:val="15"/>
                <w:rFonts w:hint="default" w:hAnsi="宋体"/>
              </w:rPr>
              <w:t>对接国家新版市场准入负面清单，推动“非禁即入”普遍落实。全面实施外商投资准入前国民待遇加负面清单管理制度。除国家法律法规明确禁止准入的行业和领域外，一律对民营经济开放。除国家法律法规规定外，各地不得要求跨区域承揽业务的省内企业在当地设立子公司或分公司。</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区工信局、区财政局、区市场监管局、区卫健局、区民政局、区文体旅局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125</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7"/>
                <w:rFonts w:hint="default" w:hAnsi="宋体"/>
              </w:rPr>
              <w:t>实施“证照分离”。</w:t>
            </w:r>
            <w:r>
              <w:rPr>
                <w:rStyle w:val="11"/>
                <w:rFonts w:hint="default" w:hAnsi="宋体"/>
              </w:rPr>
              <w:t>在全市范围内对106项涉企行政审批事项分别按照直接取消审批、审批改为备案、实行告知承诺、优化准入服务等四种方式实施“证照分离”改革。按照国家部署，逐步对所有涉及市场准入的行政审批事项按“证照分离”改革模式进行分类管理，为企业进入市场提供最大便利。</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3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126</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仿宋_GB2312" w:hAnsi="宋体" w:cs="仿宋_GB2312"/>
                <w:b/>
                <w:color w:val="000000"/>
                <w:sz w:val="20"/>
              </w:rPr>
            </w:pPr>
            <w:r>
              <w:rPr>
                <w:rStyle w:val="16"/>
                <w:rFonts w:hint="default" w:hAnsi="宋体"/>
              </w:rPr>
              <w:t>维护公平竞争的市场秩序。</w:t>
            </w:r>
            <w:r>
              <w:rPr>
                <w:rStyle w:val="15"/>
                <w:rFonts w:hint="default" w:hAnsi="宋体"/>
              </w:rPr>
              <w:t>落实公平竞争审查制度及实施细则，推动全市各级各部门清理废除妨碍统一市场和公平竞争的政策措施文件。各级行政机关和法律法规授权的具有管理公共事务职能的组织要及时纠正滥用行政权力排除、限制竞争的行为。</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区司法局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王建军</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林  诚</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03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127</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吸收引进律师人才执业。</w:t>
            </w:r>
            <w:r>
              <w:rPr>
                <w:rStyle w:val="12"/>
                <w:rFonts w:hint="default" w:hAnsi="宋体"/>
              </w:rPr>
              <w:t>通过争取协调福州市律师协会联合相关专业技术协会、仲裁委等部门在我区举办各类专题研讨、讲座等方式营造良好的法制文化品牌。</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区司法局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王建军</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诚</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102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128</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（二十一）</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政策服务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完善修订惠企政策。</w:t>
            </w:r>
            <w:r>
              <w:rPr>
                <w:rStyle w:val="15"/>
                <w:rFonts w:hint="default" w:hAnsi="宋体"/>
              </w:rPr>
              <w:t>进一步制定或完善企业扶持政策，通过走访调研，学习其他地区先进政策，系统了解本地企业政策诉求、兑现情况，分析未兑现的政策条款，根据实际情况调整修订。</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129</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抓好政策宣传推介。</w:t>
            </w:r>
            <w:r>
              <w:rPr>
                <w:rStyle w:val="15"/>
                <w:rFonts w:hint="default" w:hAnsi="宋体"/>
              </w:rPr>
              <w:t>持续加强对市、区企业扶持政策宣传解读，通过召开企业培训会、座谈会，以及网络宣传、发放宣传手册等形式，全方位开展政策宣传，营造良好的政策氛围。</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区直有关部门主要领导</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相关分管区领导</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614"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130</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积极帮助企业兑现政策红利。</w:t>
            </w:r>
            <w:r>
              <w:rPr>
                <w:rStyle w:val="15"/>
                <w:rFonts w:hint="default" w:hAnsi="宋体"/>
              </w:rPr>
              <w:t>持续帮助企业兑现市、区优惠政策，让企业充分享受政策红利，利用政策扶持助推企业进一步做大做强。</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69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131</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r>
              <w:rPr>
                <w:rFonts w:hint="eastAsia" w:ascii="仿宋_GB2312" w:hAnsi="宋体" w:cs="仿宋_GB2312"/>
                <w:b/>
                <w:color w:val="000000"/>
                <w:kern w:val="0"/>
                <w:sz w:val="20"/>
              </w:rPr>
              <w:t>（二十一）</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政策服务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持续跟踪政策执行落实情况。</w:t>
            </w:r>
            <w:r>
              <w:rPr>
                <w:rStyle w:val="15"/>
                <w:rFonts w:hint="default" w:hAnsi="宋体"/>
              </w:rPr>
              <w:t>定期跟踪汇总全区政策兑现情况，并督促区直有关单位落实政策。</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区企业服务中心</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60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132</w:t>
            </w:r>
          </w:p>
        </w:tc>
        <w:tc>
          <w:tcPr>
            <w:tcW w:w="12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kern w:val="0"/>
                <w:sz w:val="20"/>
              </w:rPr>
            </w:pPr>
            <w:r>
              <w:rPr>
                <w:rFonts w:hint="eastAsia" w:ascii="仿宋_GB2312" w:hAnsi="宋体" w:cs="仿宋_GB2312"/>
                <w:b/>
                <w:color w:val="000000"/>
                <w:kern w:val="0"/>
                <w:sz w:val="20"/>
              </w:rPr>
              <w:t>（二十二）</w:t>
            </w:r>
          </w:p>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园区发展</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完成园区硬件提升改造工程。</w:t>
            </w:r>
            <w:r>
              <w:rPr>
                <w:rStyle w:val="12"/>
                <w:rFonts w:hint="default" w:hAnsi="宋体"/>
              </w:rPr>
              <w:t>推动福州软件园A区提升改造工程，并投入使用；启动软件园D区、E区提升改造项目。</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软件园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512"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133</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推进腾笼引凤。</w:t>
            </w:r>
            <w:r>
              <w:rPr>
                <w:rStyle w:val="15"/>
                <w:rFonts w:hint="default" w:hAnsi="宋体"/>
              </w:rPr>
              <w:t>盘整现有资源，清退不符合园区产业发展的企业。</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软件园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74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134</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完善常态化服务机制。</w:t>
            </w:r>
            <w:r>
              <w:rPr>
                <w:rStyle w:val="12"/>
                <w:rFonts w:hint="default" w:hAnsi="宋体"/>
              </w:rPr>
              <w:t>形成管委会主要领导总体抓，分管领导及各部门责任人包干负责的常态化服务机制。</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软件园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134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135</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探索创业苗圃运营服务新模式。</w:t>
            </w:r>
            <w:r>
              <w:rPr>
                <w:rStyle w:val="15"/>
                <w:rFonts w:hint="default" w:hAnsi="宋体"/>
              </w:rPr>
              <w:t>围绕“投资+孵化”，大力支持“众创空间-孵化器-加速器”全链条、差异化的创新创业载体发展。以众创空间服务创业项目和小微企业，以孵化器服务中小型科技企业，以加速器服务高成长性企业。</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软件园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99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136</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推动华为云服务平台投入营运。</w:t>
            </w:r>
            <w:r>
              <w:rPr>
                <w:rStyle w:val="12"/>
                <w:rFonts w:hint="default" w:hAnsi="宋体"/>
              </w:rPr>
              <w:t>开展百家企业上云计划，打造“云生态”标杆企业。支持300家企业云化转型，技术支持及专家咨询服务覆盖10000人次/年。</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软件园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102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137</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推进智慧园区建设。</w:t>
            </w:r>
            <w:r>
              <w:rPr>
                <w:rStyle w:val="12"/>
                <w:rFonts w:hint="default" w:hAnsi="宋体"/>
              </w:rPr>
              <w:t>完善智慧园区平台，建立园区停车智慧化、监测园区环境智慧化、监测园区灾情险情智慧化等体系，提升园区管理的科学化、现代化、智能化水平。</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软件园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128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138</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推进知创福建平台发展。</w:t>
            </w:r>
            <w:r>
              <w:rPr>
                <w:rStyle w:val="15"/>
                <w:rFonts w:hint="default" w:hAnsi="宋体"/>
              </w:rPr>
              <w:t>以知创平台为抓手，完善知识产权交易服务，加快技术成果转化，率先在全国建立起知识产权服务、保护、运营三位一体的园区发展模式。引入或联合服务机构50家，服务企业100家，新增知识产权成果50项。</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软件园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792"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139</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深化基金大厦建设。</w:t>
            </w:r>
            <w:r>
              <w:rPr>
                <w:rStyle w:val="15"/>
                <w:rFonts w:hint="default" w:hAnsi="宋体"/>
              </w:rPr>
              <w:t>发挥基金大厦平台带动作用，积极引进基金公司、基金管理公司，探索成立产业引导基金。</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软件园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97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140</w:t>
            </w:r>
          </w:p>
        </w:tc>
        <w:tc>
          <w:tcPr>
            <w:tcW w:w="12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kern w:val="0"/>
                <w:sz w:val="20"/>
              </w:rPr>
            </w:pPr>
            <w:r>
              <w:rPr>
                <w:rFonts w:hint="eastAsia" w:ascii="仿宋_GB2312" w:hAnsi="宋体" w:cs="仿宋_GB2312"/>
                <w:b/>
                <w:color w:val="000000"/>
                <w:kern w:val="0"/>
                <w:sz w:val="20"/>
              </w:rPr>
              <w:t>（二十三）</w:t>
            </w:r>
          </w:p>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创建特色</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小镇</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仿宋_GB2312" w:hAnsi="宋体" w:cs="仿宋_GB2312"/>
                <w:b/>
                <w:color w:val="000000"/>
                <w:sz w:val="20"/>
              </w:rPr>
            </w:pPr>
            <w:r>
              <w:rPr>
                <w:rStyle w:val="16"/>
                <w:rFonts w:hint="default" w:hAnsi="宋体"/>
              </w:rPr>
              <w:t>持续开展“五凤论见”活动。</w:t>
            </w:r>
            <w:r>
              <w:rPr>
                <w:rStyle w:val="15"/>
                <w:rFonts w:hint="default" w:hAnsi="宋体"/>
              </w:rPr>
              <w:t>积极响应政府政策贯宣需求，及时反馈行业、企业动态；开展行业热点和趋势分析，进行IT行业政策分析与解读；协助企业解决困难，提升软件园服务水平和整体形象；有效收集商业信息，及时掌握招商线索，促进项目落地园区。</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软件园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141</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仿宋_GB2312" w:hAnsi="宋体" w:cs="仿宋_GB2312"/>
                <w:b/>
                <w:color w:val="000000"/>
                <w:sz w:val="20"/>
              </w:rPr>
            </w:pPr>
            <w:r>
              <w:rPr>
                <w:rStyle w:val="14"/>
                <w:rFonts w:hint="default" w:hAnsi="宋体"/>
              </w:rPr>
              <w:t>设立互联网创新中心。</w:t>
            </w:r>
            <w:r>
              <w:rPr>
                <w:rStyle w:val="12"/>
                <w:rFonts w:hint="default" w:hAnsi="宋体"/>
              </w:rPr>
              <w:t>拟选址长春铺地块，推动地块尽早挂牌及建设。项目建成后将整合人才、技术、资本、研发、营销等要素，集聚互联创新团队，打造互联网创新生态整合平台。</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旧改办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洪山镇、高新区洪山园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郑朝阳</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杨  辉</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576"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142</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仿宋_GB2312" w:hAnsi="宋体" w:cs="仿宋_GB2312"/>
                <w:b/>
                <w:color w:val="000000"/>
                <w:sz w:val="20"/>
              </w:rPr>
            </w:pPr>
            <w:r>
              <w:rPr>
                <w:rStyle w:val="14"/>
                <w:rFonts w:hint="default" w:hAnsi="宋体"/>
              </w:rPr>
              <w:t>推进华润商务楼宇建设项目。</w:t>
            </w:r>
            <w:r>
              <w:rPr>
                <w:rStyle w:val="12"/>
                <w:rFonts w:hint="default" w:hAnsi="宋体"/>
              </w:rPr>
              <w:t>项目位于华润城市综合体A地块，计划建成约90000平方米商务办公楼宇，引进互联网企业。</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洪山镇、高新区洪山园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波</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143</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仿宋_GB2312" w:hAnsi="宋体" w:cs="仿宋_GB2312"/>
                <w:b/>
                <w:color w:val="000000"/>
                <w:sz w:val="20"/>
              </w:rPr>
            </w:pPr>
            <w:r>
              <w:rPr>
                <w:rStyle w:val="14"/>
                <w:rFonts w:hint="default" w:hAnsi="宋体"/>
              </w:rPr>
              <w:t>推进小镇云平台建设。</w:t>
            </w:r>
            <w:r>
              <w:rPr>
                <w:rStyle w:val="12"/>
                <w:rFonts w:hint="default" w:hAnsi="宋体"/>
              </w:rPr>
              <w:t>依托“云计算”、“互联网”和“大数据”等智能化技术构建小镇综合运营平台、小镇大数据平台、小镇服务及运营体系三大版块，助力小镇创新发展。</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高新区洪山园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144</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仿宋_GB2312" w:hAnsi="宋体" w:cs="仿宋_GB2312"/>
                <w:b/>
                <w:color w:val="000000"/>
                <w:sz w:val="20"/>
              </w:rPr>
            </w:pPr>
            <w:r>
              <w:rPr>
                <w:rStyle w:val="16"/>
                <w:rFonts w:hint="default" w:hAnsi="宋体"/>
              </w:rPr>
              <w:t>小镇展厅改造工程。</w:t>
            </w:r>
            <w:r>
              <w:rPr>
                <w:rStyle w:val="15"/>
                <w:rFonts w:hint="default" w:hAnsi="宋体"/>
              </w:rPr>
              <w:t>对金牛山互联网产业园展厅进行局部调整，用于小镇规划展示和招商服务，展示内容包括小镇沙盘、智能监测平台、智慧城市应用等。</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高新区洪山园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572"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145</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仿宋_GB2312" w:hAnsi="宋体" w:cs="仿宋_GB2312"/>
                <w:b/>
                <w:color w:val="000000"/>
                <w:sz w:val="20"/>
              </w:rPr>
            </w:pPr>
            <w:r>
              <w:rPr>
                <w:rStyle w:val="16"/>
                <w:rFonts w:hint="default" w:hAnsi="宋体"/>
              </w:rPr>
              <w:t>制作小镇视觉宣传方案。</w:t>
            </w:r>
            <w:r>
              <w:rPr>
                <w:rStyle w:val="15"/>
                <w:rFonts w:hint="default" w:hAnsi="宋体"/>
              </w:rPr>
              <w:t>内容包含小镇logo、画册、KV、视频等，提升小镇辨识度和知名度。</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高新区洪山园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57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146</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仿宋_GB2312" w:hAnsi="宋体" w:cs="仿宋_GB2312"/>
                <w:b/>
                <w:color w:val="000000"/>
                <w:sz w:val="20"/>
              </w:rPr>
            </w:pPr>
            <w:r>
              <w:rPr>
                <w:rStyle w:val="14"/>
                <w:rFonts w:hint="default" w:hAnsi="宋体"/>
              </w:rPr>
              <w:t>开展小镇5G试点工程。</w:t>
            </w:r>
            <w:r>
              <w:rPr>
                <w:rStyle w:val="12"/>
                <w:rFonts w:hint="default" w:hAnsi="宋体"/>
              </w:rPr>
              <w:t>与中国联通等通讯运营商签订5G战略合作协议，在小镇开展5G组网规模建设及应用试点工程。</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洪山镇、高新区洪山园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波</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57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147</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仿宋_GB2312" w:hAnsi="宋体" w:cs="仿宋_GB2312"/>
                <w:b/>
                <w:color w:val="000000"/>
                <w:sz w:val="20"/>
              </w:rPr>
            </w:pPr>
            <w:r>
              <w:rPr>
                <w:rStyle w:val="14"/>
                <w:rFonts w:hint="default" w:hAnsi="宋体"/>
              </w:rPr>
              <w:t>优化小镇居住环境。</w:t>
            </w:r>
            <w:r>
              <w:rPr>
                <w:rStyle w:val="12"/>
                <w:rFonts w:hint="default" w:hAnsi="宋体"/>
              </w:rPr>
              <w:t>对小镇内老旧小区及福沁路、长春铺支路等道路、小街巷进行改造，提升小镇的居住条件和生活品质。</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区建设局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区房管局、洪山镇</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77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148</w:t>
            </w:r>
          </w:p>
        </w:tc>
        <w:tc>
          <w:tcPr>
            <w:tcW w:w="12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kern w:val="0"/>
                <w:sz w:val="20"/>
              </w:rPr>
            </w:pPr>
            <w:r>
              <w:rPr>
                <w:rFonts w:hint="eastAsia" w:ascii="仿宋_GB2312" w:hAnsi="宋体" w:cs="仿宋_GB2312"/>
                <w:b/>
                <w:color w:val="000000"/>
                <w:kern w:val="0"/>
                <w:sz w:val="20"/>
              </w:rPr>
              <w:t>（二十四）</w:t>
            </w:r>
          </w:p>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深化改革</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创新</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仿宋_GB2312" w:hAnsi="宋体" w:cs="仿宋_GB2312"/>
                <w:b/>
                <w:color w:val="000000"/>
                <w:sz w:val="20"/>
              </w:rPr>
            </w:pPr>
            <w:r>
              <w:rPr>
                <w:rStyle w:val="14"/>
                <w:rFonts w:hint="default" w:hAnsi="宋体"/>
              </w:rPr>
              <w:t>聚焦营商环境的痛点、堵点、难点问题。</w:t>
            </w:r>
            <w:r>
              <w:rPr>
                <w:rStyle w:val="12"/>
                <w:rFonts w:hint="default" w:hAnsi="宋体"/>
              </w:rPr>
              <w:t>对接国际国内先进理念和最佳实践进行改革，疏通制度瓶颈和解决体制机制问题。</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区直有关部门主要领导</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相关分管区领导</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402"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149</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仿宋_GB2312" w:hAnsi="宋体" w:cs="仿宋_GB2312"/>
                <w:b/>
                <w:color w:val="000000"/>
                <w:sz w:val="20"/>
              </w:rPr>
            </w:pPr>
            <w:r>
              <w:rPr>
                <w:rStyle w:val="14"/>
                <w:rFonts w:hint="default" w:hAnsi="宋体"/>
              </w:rPr>
              <w:t>提高政策制定和执行水平。</w:t>
            </w:r>
            <w:r>
              <w:rPr>
                <w:rStyle w:val="12"/>
                <w:rFonts w:hint="default" w:hAnsi="宋体"/>
              </w:rPr>
              <w:t>研究出台涉及企业的重大政策措施，要广泛听取企业意见和建议。加强政策宣传，提高政策知晓度和可及性，打通“最后一公里”。健全“政企直通车”制度，及时了解企业生产经营状况。开展帮扶民营企业专项行动，建立重点帮扶企业名单，实行“一企一策”、点对点精准帮扶。</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区直有关部门主要领导</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相关分管区领导</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bl>
    <w:p>
      <w:pPr>
        <w:widowControl/>
        <w:tabs>
          <w:tab w:val="left" w:pos="767"/>
        </w:tabs>
        <w:spacing w:line="400" w:lineRule="exact"/>
        <w:ind w:firstLine="308" w:firstLineChars="100"/>
        <w:jc w:val="left"/>
        <w:rPr>
          <w:rFonts w:hint="eastAsia" w:ascii="黑体" w:hAnsi="黑体" w:eastAsia="黑体" w:cs="黑体"/>
          <w:color w:val="000000"/>
          <w:kern w:val="0"/>
          <w:szCs w:val="32"/>
        </w:rPr>
        <w:sectPr>
          <w:pgSz w:w="16838" w:h="11906" w:orient="landscape"/>
          <w:pgMar w:top="1701" w:right="1701" w:bottom="1701" w:left="1701" w:header="851" w:footer="992" w:gutter="0"/>
          <w:pgNumType w:fmt="numberInDash"/>
          <w:cols w:space="720" w:num="1"/>
          <w:docGrid w:type="lines" w:linePitch="456" w:charSpace="0"/>
        </w:sectPr>
      </w:pPr>
    </w:p>
    <w:tbl>
      <w:tblPr>
        <w:tblStyle w:val="7"/>
        <w:tblW w:w="13460" w:type="dxa"/>
        <w:jc w:val="center"/>
        <w:tblLayout w:type="fixed"/>
        <w:tblCellMar>
          <w:top w:w="0" w:type="dxa"/>
          <w:left w:w="108" w:type="dxa"/>
          <w:bottom w:w="0" w:type="dxa"/>
          <w:right w:w="108" w:type="dxa"/>
        </w:tblCellMar>
      </w:tblPr>
      <w:tblGrid>
        <w:gridCol w:w="722"/>
        <w:gridCol w:w="2279"/>
        <w:gridCol w:w="2456"/>
        <w:gridCol w:w="3340"/>
        <w:gridCol w:w="1618"/>
        <w:gridCol w:w="1512"/>
        <w:gridCol w:w="1533"/>
      </w:tblGrid>
      <w:tr>
        <w:tblPrEx>
          <w:tblCellMar>
            <w:top w:w="0" w:type="dxa"/>
            <w:left w:w="108" w:type="dxa"/>
            <w:bottom w:w="0" w:type="dxa"/>
            <w:right w:w="108" w:type="dxa"/>
          </w:tblCellMar>
        </w:tblPrEx>
        <w:trPr>
          <w:trHeight w:val="280" w:hRule="atLeast"/>
          <w:jc w:val="center"/>
        </w:trPr>
        <w:tc>
          <w:tcPr>
            <w:tcW w:w="13460" w:type="dxa"/>
            <w:gridSpan w:val="7"/>
            <w:tcBorders>
              <w:top w:val="nil"/>
              <w:left w:val="nil"/>
              <w:bottom w:val="nil"/>
              <w:right w:val="nil"/>
            </w:tcBorders>
            <w:vAlign w:val="center"/>
          </w:tcPr>
          <w:p>
            <w:pPr>
              <w:widowControl/>
              <w:tabs>
                <w:tab w:val="left" w:pos="767"/>
              </w:tabs>
              <w:spacing w:line="400" w:lineRule="exact"/>
              <w:ind w:firstLine="308" w:firstLineChars="100"/>
              <w:jc w:val="left"/>
              <w:rPr>
                <w:rFonts w:hint="eastAsia" w:ascii="黑体" w:hAnsi="黑体" w:eastAsia="黑体" w:cs="黑体"/>
                <w:color w:val="000000"/>
                <w:kern w:val="0"/>
                <w:sz w:val="24"/>
                <w:szCs w:val="24"/>
              </w:rPr>
            </w:pPr>
            <w:r>
              <w:rPr>
                <w:rFonts w:hint="eastAsia" w:ascii="黑体" w:hAnsi="黑体" w:eastAsia="黑体" w:cs="黑体"/>
                <w:color w:val="000000"/>
                <w:kern w:val="0"/>
                <w:szCs w:val="32"/>
              </w:rPr>
              <w:t>附件2</w:t>
            </w:r>
          </w:p>
        </w:tc>
      </w:tr>
      <w:tr>
        <w:tblPrEx>
          <w:tblCellMar>
            <w:top w:w="0" w:type="dxa"/>
            <w:left w:w="108" w:type="dxa"/>
            <w:bottom w:w="0" w:type="dxa"/>
            <w:right w:w="108" w:type="dxa"/>
          </w:tblCellMar>
        </w:tblPrEx>
        <w:trPr>
          <w:trHeight w:val="524" w:hRule="atLeast"/>
          <w:jc w:val="center"/>
        </w:trPr>
        <w:tc>
          <w:tcPr>
            <w:tcW w:w="13460" w:type="dxa"/>
            <w:gridSpan w:val="7"/>
            <w:tcBorders>
              <w:top w:val="nil"/>
              <w:left w:val="nil"/>
              <w:bottom w:val="single" w:color="auto" w:sz="4" w:space="0"/>
              <w:right w:val="nil"/>
            </w:tcBorders>
            <w:vAlign w:val="center"/>
          </w:tcPr>
          <w:p>
            <w:pPr>
              <w:widowControl/>
              <w:spacing w:afterLines="100"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2019年鼓楼区工作专项组任务分工一览表</w:t>
            </w:r>
          </w:p>
        </w:tc>
      </w:tr>
      <w:tr>
        <w:tblPrEx>
          <w:tblCellMar>
            <w:top w:w="0" w:type="dxa"/>
            <w:left w:w="108" w:type="dxa"/>
            <w:bottom w:w="0" w:type="dxa"/>
            <w:right w:w="108" w:type="dxa"/>
          </w:tblCellMar>
        </w:tblPrEx>
        <w:trPr>
          <w:trHeight w:val="28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227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专项组名</w:t>
            </w:r>
          </w:p>
        </w:tc>
        <w:tc>
          <w:tcPr>
            <w:tcW w:w="245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牵头部门</w:t>
            </w:r>
          </w:p>
        </w:tc>
        <w:tc>
          <w:tcPr>
            <w:tcW w:w="334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工作目标</w:t>
            </w:r>
          </w:p>
        </w:tc>
        <w:tc>
          <w:tcPr>
            <w:tcW w:w="161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责任领导</w:t>
            </w:r>
          </w:p>
        </w:tc>
        <w:tc>
          <w:tcPr>
            <w:tcW w:w="151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分管领导</w:t>
            </w:r>
          </w:p>
        </w:tc>
        <w:tc>
          <w:tcPr>
            <w:tcW w:w="153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联络人</w:t>
            </w:r>
          </w:p>
        </w:tc>
      </w:tr>
      <w:tr>
        <w:tblPrEx>
          <w:tblCellMar>
            <w:top w:w="0" w:type="dxa"/>
            <w:left w:w="108" w:type="dxa"/>
            <w:bottom w:w="0" w:type="dxa"/>
            <w:right w:w="108" w:type="dxa"/>
          </w:tblCellMar>
        </w:tblPrEx>
        <w:trPr>
          <w:trHeight w:val="286" w:hRule="atLeast"/>
          <w:jc w:val="center"/>
        </w:trPr>
        <w:tc>
          <w:tcPr>
            <w:tcW w:w="722"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1</w:t>
            </w:r>
          </w:p>
        </w:tc>
        <w:tc>
          <w:tcPr>
            <w:tcW w:w="2279"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开办企业组</w:t>
            </w:r>
          </w:p>
        </w:tc>
        <w:tc>
          <w:tcPr>
            <w:tcW w:w="2456"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区市场监管局</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开办企业</w:t>
            </w:r>
          </w:p>
        </w:tc>
        <w:tc>
          <w:tcPr>
            <w:tcW w:w="1618"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吴小雄</w:t>
            </w:r>
          </w:p>
        </w:tc>
        <w:tc>
          <w:tcPr>
            <w:tcW w:w="1512"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徐金泰</w:t>
            </w:r>
          </w:p>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黄瑞忠</w:t>
            </w:r>
          </w:p>
        </w:tc>
        <w:tc>
          <w:tcPr>
            <w:tcW w:w="1533"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魏文均</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2456"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注销企业</w:t>
            </w:r>
          </w:p>
        </w:tc>
        <w:tc>
          <w:tcPr>
            <w:tcW w:w="1618"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1512"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1533"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286" w:hRule="atLeast"/>
          <w:jc w:val="center"/>
        </w:trPr>
        <w:tc>
          <w:tcPr>
            <w:tcW w:w="722"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2</w:t>
            </w:r>
          </w:p>
        </w:tc>
        <w:tc>
          <w:tcPr>
            <w:tcW w:w="2279"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办理建设许可组</w:t>
            </w:r>
          </w:p>
        </w:tc>
        <w:tc>
          <w:tcPr>
            <w:tcW w:w="2456"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区建设局</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办理建筑许可</w:t>
            </w:r>
          </w:p>
        </w:tc>
        <w:tc>
          <w:tcPr>
            <w:tcW w:w="1618"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雯</w:t>
            </w:r>
          </w:p>
        </w:tc>
        <w:tc>
          <w:tcPr>
            <w:tcW w:w="1512"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陈晓彬</w:t>
            </w:r>
          </w:p>
        </w:tc>
        <w:tc>
          <w:tcPr>
            <w:tcW w:w="1533"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吴丹丹</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2456"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获得用水</w:t>
            </w:r>
          </w:p>
        </w:tc>
        <w:tc>
          <w:tcPr>
            <w:tcW w:w="1618"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1512"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1533"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2456"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获得用气</w:t>
            </w:r>
          </w:p>
        </w:tc>
        <w:tc>
          <w:tcPr>
            <w:tcW w:w="1618"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1512"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1533"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28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3</w:t>
            </w:r>
          </w:p>
        </w:tc>
        <w:tc>
          <w:tcPr>
            <w:tcW w:w="227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获得电力组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区工信局</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获得电力</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倪  云</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斌</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雷斌斌</w:t>
            </w:r>
          </w:p>
        </w:tc>
      </w:tr>
      <w:tr>
        <w:tblPrEx>
          <w:tblCellMar>
            <w:top w:w="0" w:type="dxa"/>
            <w:left w:w="108" w:type="dxa"/>
            <w:bottom w:w="0" w:type="dxa"/>
            <w:right w:w="108" w:type="dxa"/>
          </w:tblCellMar>
        </w:tblPrEx>
        <w:trPr>
          <w:trHeight w:val="28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4</w:t>
            </w:r>
          </w:p>
        </w:tc>
        <w:tc>
          <w:tcPr>
            <w:tcW w:w="227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获得信贷组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区金融办</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获得信贷</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侯赛忠</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丹</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林旭东</w:t>
            </w:r>
          </w:p>
        </w:tc>
      </w:tr>
      <w:tr>
        <w:tblPrEx>
          <w:tblCellMar>
            <w:top w:w="0" w:type="dxa"/>
            <w:left w:w="108" w:type="dxa"/>
            <w:bottom w:w="0" w:type="dxa"/>
            <w:right w:w="108" w:type="dxa"/>
          </w:tblCellMar>
        </w:tblPrEx>
        <w:trPr>
          <w:trHeight w:val="28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5</w:t>
            </w:r>
          </w:p>
        </w:tc>
        <w:tc>
          <w:tcPr>
            <w:tcW w:w="227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纳税指导组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区财政局</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纳税</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柳向阳</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丹</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胡志鹏</w:t>
            </w:r>
          </w:p>
        </w:tc>
      </w:tr>
      <w:tr>
        <w:tblPrEx>
          <w:tblCellMar>
            <w:top w:w="0" w:type="dxa"/>
            <w:left w:w="108" w:type="dxa"/>
            <w:bottom w:w="0" w:type="dxa"/>
            <w:right w:w="108" w:type="dxa"/>
          </w:tblCellMar>
        </w:tblPrEx>
        <w:trPr>
          <w:trHeight w:val="286" w:hRule="atLeast"/>
          <w:jc w:val="center"/>
        </w:trPr>
        <w:tc>
          <w:tcPr>
            <w:tcW w:w="722"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6</w:t>
            </w:r>
          </w:p>
        </w:tc>
        <w:tc>
          <w:tcPr>
            <w:tcW w:w="2279"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权益保护组</w:t>
            </w:r>
          </w:p>
        </w:tc>
        <w:tc>
          <w:tcPr>
            <w:tcW w:w="2456"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区法院</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保护中小投资者</w:t>
            </w:r>
          </w:p>
        </w:tc>
        <w:tc>
          <w:tcPr>
            <w:tcW w:w="1618"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苏维海</w:t>
            </w:r>
          </w:p>
        </w:tc>
        <w:tc>
          <w:tcPr>
            <w:tcW w:w="1512"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辉</w:t>
            </w:r>
          </w:p>
        </w:tc>
        <w:tc>
          <w:tcPr>
            <w:tcW w:w="1533"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胡晓强</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2456"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办理破产</w:t>
            </w:r>
          </w:p>
        </w:tc>
        <w:tc>
          <w:tcPr>
            <w:tcW w:w="1618"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1512"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1533"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2456"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执行合同</w:t>
            </w:r>
          </w:p>
        </w:tc>
        <w:tc>
          <w:tcPr>
            <w:tcW w:w="1618"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1512"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1533"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286" w:hRule="atLeast"/>
          <w:jc w:val="center"/>
        </w:trPr>
        <w:tc>
          <w:tcPr>
            <w:tcW w:w="7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7</w:t>
            </w:r>
          </w:p>
        </w:tc>
        <w:tc>
          <w:tcPr>
            <w:tcW w:w="22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降低成本组</w:t>
            </w:r>
          </w:p>
        </w:tc>
        <w:tc>
          <w:tcPr>
            <w:tcW w:w="24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区发改局</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降低企业运营成本</w:t>
            </w:r>
          </w:p>
        </w:tc>
        <w:tc>
          <w:tcPr>
            <w:tcW w:w="16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旭</w:t>
            </w:r>
          </w:p>
        </w:tc>
        <w:tc>
          <w:tcPr>
            <w:tcW w:w="15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丹</w:t>
            </w:r>
          </w:p>
        </w:tc>
        <w:tc>
          <w:tcPr>
            <w:tcW w:w="15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邹  兵</w:t>
            </w:r>
          </w:p>
        </w:tc>
      </w:tr>
      <w:tr>
        <w:tblPrEx>
          <w:tblCellMar>
            <w:top w:w="0" w:type="dxa"/>
            <w:left w:w="108" w:type="dxa"/>
            <w:bottom w:w="0" w:type="dxa"/>
            <w:right w:w="108" w:type="dxa"/>
          </w:tblCellMar>
        </w:tblPrEx>
        <w:trPr>
          <w:trHeight w:val="286" w:hRule="atLeast"/>
          <w:jc w:val="center"/>
        </w:trPr>
        <w:tc>
          <w:tcPr>
            <w:tcW w:w="722" w:type="dxa"/>
            <w:vMerge w:val="continue"/>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vMerge w:val="continue"/>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市场监管</w:t>
            </w:r>
          </w:p>
        </w:tc>
        <w:tc>
          <w:tcPr>
            <w:tcW w:w="1618" w:type="dxa"/>
            <w:vMerge w:val="continue"/>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12" w:type="dxa"/>
            <w:vMerge w:val="continue"/>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vMerge w:val="continue"/>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政府采购</w:t>
            </w:r>
          </w:p>
        </w:tc>
        <w:tc>
          <w:tcPr>
            <w:tcW w:w="1618"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1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招标投标</w:t>
            </w:r>
          </w:p>
        </w:tc>
        <w:tc>
          <w:tcPr>
            <w:tcW w:w="1618"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1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570"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22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专项组名</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牵头部门</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工作目标</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责任领导</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分管领导</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联络人</w:t>
            </w:r>
          </w:p>
        </w:tc>
      </w:tr>
      <w:tr>
        <w:tblPrEx>
          <w:tblCellMar>
            <w:top w:w="0" w:type="dxa"/>
            <w:left w:w="108" w:type="dxa"/>
            <w:bottom w:w="0" w:type="dxa"/>
            <w:right w:w="108" w:type="dxa"/>
          </w:tblCellMar>
        </w:tblPrEx>
        <w:trPr>
          <w:trHeight w:val="286" w:hRule="atLeast"/>
          <w:jc w:val="center"/>
        </w:trPr>
        <w:tc>
          <w:tcPr>
            <w:tcW w:w="722"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8</w:t>
            </w:r>
          </w:p>
        </w:tc>
        <w:tc>
          <w:tcPr>
            <w:tcW w:w="2279"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数字政务及</w:t>
            </w:r>
          </w:p>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平台建设组</w:t>
            </w:r>
          </w:p>
        </w:tc>
        <w:tc>
          <w:tcPr>
            <w:tcW w:w="2456"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区数字办</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政务服务</w:t>
            </w:r>
          </w:p>
        </w:tc>
        <w:tc>
          <w:tcPr>
            <w:tcW w:w="1618"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章世长</w:t>
            </w:r>
          </w:p>
        </w:tc>
        <w:tc>
          <w:tcPr>
            <w:tcW w:w="1512"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斌</w:t>
            </w:r>
          </w:p>
        </w:tc>
        <w:tc>
          <w:tcPr>
            <w:tcW w:w="1533"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杨  丽</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不动产登记</w:t>
            </w:r>
          </w:p>
        </w:tc>
        <w:tc>
          <w:tcPr>
            <w:tcW w:w="1618"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1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28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9</w:t>
            </w:r>
          </w:p>
        </w:tc>
        <w:tc>
          <w:tcPr>
            <w:tcW w:w="22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政策扶持组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区发改局</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政策服务</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旭</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丹</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薛  昆</w:t>
            </w:r>
          </w:p>
        </w:tc>
      </w:tr>
      <w:tr>
        <w:tblPrEx>
          <w:tblCellMar>
            <w:top w:w="0" w:type="dxa"/>
            <w:left w:w="108" w:type="dxa"/>
            <w:bottom w:w="0" w:type="dxa"/>
            <w:right w:w="108" w:type="dxa"/>
          </w:tblCellMar>
        </w:tblPrEx>
        <w:trPr>
          <w:trHeight w:val="286" w:hRule="atLeast"/>
          <w:jc w:val="center"/>
        </w:trPr>
        <w:tc>
          <w:tcPr>
            <w:tcW w:w="722" w:type="dxa"/>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10</w:t>
            </w:r>
          </w:p>
        </w:tc>
        <w:tc>
          <w:tcPr>
            <w:tcW w:w="2279" w:type="dxa"/>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信用建设组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区发改局</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市场监管</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旭</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丹</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薛  昆</w:t>
            </w:r>
          </w:p>
        </w:tc>
      </w:tr>
      <w:tr>
        <w:tblPrEx>
          <w:tblCellMar>
            <w:top w:w="0" w:type="dxa"/>
            <w:left w:w="108" w:type="dxa"/>
            <w:bottom w:w="0" w:type="dxa"/>
            <w:right w:w="108" w:type="dxa"/>
          </w:tblCellMar>
        </w:tblPrEx>
        <w:trPr>
          <w:trHeight w:val="28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11</w:t>
            </w:r>
          </w:p>
        </w:tc>
        <w:tc>
          <w:tcPr>
            <w:tcW w:w="22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园区发展组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福州软件园</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园区发展</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晖</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ascii="仿宋_GB2312" w:hAnsi="仿宋_GB2312" w:cs="仿宋_GB2312"/>
                <w:color w:val="000000"/>
                <w:kern w:val="0"/>
                <w:sz w:val="24"/>
                <w:szCs w:val="24"/>
              </w:rPr>
              <w:t>陈</w:t>
            </w:r>
            <w:r>
              <w:rPr>
                <w:rFonts w:hint="eastAsia" w:ascii="仿宋_GB2312" w:hAnsi="仿宋_GB2312" w:cs="仿宋_GB2312"/>
                <w:color w:val="000000"/>
                <w:kern w:val="0"/>
                <w:sz w:val="24"/>
                <w:szCs w:val="24"/>
              </w:rPr>
              <w:t xml:space="preserve">  </w:t>
            </w:r>
            <w:r>
              <w:rPr>
                <w:rFonts w:ascii="仿宋_GB2312" w:hAnsi="仿宋_GB2312" w:cs="仿宋_GB2312"/>
                <w:color w:val="000000"/>
                <w:kern w:val="0"/>
                <w:sz w:val="24"/>
                <w:szCs w:val="24"/>
              </w:rPr>
              <w:t>斌</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陈静仪</w:t>
            </w:r>
          </w:p>
        </w:tc>
      </w:tr>
      <w:tr>
        <w:tblPrEx>
          <w:tblCellMar>
            <w:top w:w="0" w:type="dxa"/>
            <w:left w:w="108" w:type="dxa"/>
            <w:bottom w:w="0" w:type="dxa"/>
            <w:right w:w="108" w:type="dxa"/>
          </w:tblCellMar>
        </w:tblPrEx>
        <w:trPr>
          <w:trHeight w:val="286" w:hRule="atLeast"/>
          <w:jc w:val="center"/>
        </w:trPr>
        <w:tc>
          <w:tcPr>
            <w:tcW w:w="722" w:type="dxa"/>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12</w:t>
            </w:r>
          </w:p>
        </w:tc>
        <w:tc>
          <w:tcPr>
            <w:tcW w:w="2279" w:type="dxa"/>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特色小镇建设组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高新区洪山园</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创建特色小镇</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凯</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ascii="仿宋_GB2312" w:hAnsi="仿宋_GB2312" w:cs="仿宋_GB2312"/>
                <w:color w:val="000000"/>
                <w:kern w:val="0"/>
                <w:sz w:val="24"/>
                <w:szCs w:val="24"/>
              </w:rPr>
              <w:t>陈</w:t>
            </w:r>
            <w:r>
              <w:rPr>
                <w:rFonts w:hint="eastAsia" w:ascii="仿宋_GB2312" w:hAnsi="仿宋_GB2312" w:cs="仿宋_GB2312"/>
                <w:color w:val="000000"/>
                <w:kern w:val="0"/>
                <w:sz w:val="24"/>
                <w:szCs w:val="24"/>
              </w:rPr>
              <w:t xml:space="preserve">  丹</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刘美蓉</w:t>
            </w:r>
          </w:p>
        </w:tc>
      </w:tr>
      <w:tr>
        <w:tblPrEx>
          <w:tblCellMar>
            <w:top w:w="0" w:type="dxa"/>
            <w:left w:w="108" w:type="dxa"/>
            <w:bottom w:w="0" w:type="dxa"/>
            <w:right w:w="108" w:type="dxa"/>
          </w:tblCellMar>
        </w:tblPrEx>
        <w:trPr>
          <w:trHeight w:val="286" w:hRule="atLeast"/>
          <w:jc w:val="center"/>
        </w:trPr>
        <w:tc>
          <w:tcPr>
            <w:tcW w:w="722" w:type="dxa"/>
            <w:vMerge w:val="restart"/>
            <w:tcBorders>
              <w:left w:val="single" w:color="auto" w:sz="4" w:space="0"/>
              <w:right w:val="single" w:color="auto" w:sz="4" w:space="0"/>
            </w:tcBorders>
            <w:vAlign w:val="center"/>
          </w:tcPr>
          <w:p>
            <w:pPr>
              <w:widowControl/>
              <w:spacing w:line="4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13</w:t>
            </w:r>
          </w:p>
        </w:tc>
        <w:tc>
          <w:tcPr>
            <w:tcW w:w="2279" w:type="dxa"/>
            <w:vMerge w:val="restart"/>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知识产权、人才和劳动力服务组</w:t>
            </w:r>
          </w:p>
        </w:tc>
        <w:tc>
          <w:tcPr>
            <w:tcW w:w="2456"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区人社局</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知识产权创造、保护和运用</w:t>
            </w:r>
          </w:p>
        </w:tc>
        <w:tc>
          <w:tcPr>
            <w:tcW w:w="1618"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宋体" w:cs="仿宋_GB2312"/>
                <w:color w:val="000000"/>
                <w:kern w:val="0"/>
                <w:sz w:val="24"/>
                <w:szCs w:val="24"/>
              </w:rPr>
              <w:t>林  秀</w:t>
            </w:r>
          </w:p>
        </w:tc>
        <w:tc>
          <w:tcPr>
            <w:tcW w:w="1512"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斌</w:t>
            </w:r>
          </w:p>
          <w:p>
            <w:pPr>
              <w:widowControl/>
              <w:spacing w:line="400" w:lineRule="exact"/>
              <w:jc w:val="center"/>
              <w:rPr>
                <w:rFonts w:hint="eastAsia"/>
                <w:color w:val="000000"/>
              </w:rPr>
            </w:pPr>
            <w:r>
              <w:rPr>
                <w:rFonts w:hint="eastAsia" w:ascii="仿宋_GB2312" w:hAnsi="仿宋_GB2312" w:cs="仿宋_GB2312"/>
                <w:color w:val="000000"/>
                <w:kern w:val="0"/>
                <w:sz w:val="24"/>
                <w:szCs w:val="24"/>
              </w:rPr>
              <w:t>黄瑞忠</w:t>
            </w:r>
          </w:p>
        </w:tc>
        <w:tc>
          <w:tcPr>
            <w:tcW w:w="1533"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黄晨岚</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劳动力市场监管</w:t>
            </w:r>
          </w:p>
        </w:tc>
        <w:tc>
          <w:tcPr>
            <w:tcW w:w="1618"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1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286" w:hRule="atLeast"/>
          <w:jc w:val="center"/>
        </w:trPr>
        <w:tc>
          <w:tcPr>
            <w:tcW w:w="722"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14</w:t>
            </w:r>
          </w:p>
        </w:tc>
        <w:tc>
          <w:tcPr>
            <w:tcW w:w="2279"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社会民生组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区卫健局</w:t>
            </w:r>
          </w:p>
        </w:tc>
        <w:tc>
          <w:tcPr>
            <w:tcW w:w="3340"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包容普惠创新</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lang w:val="zh-TW"/>
              </w:rPr>
              <w:t>高</w:t>
            </w:r>
            <w:r>
              <w:rPr>
                <w:rFonts w:hint="eastAsia" w:ascii="仿宋_GB2312" w:hAnsi="仿宋_GB2312" w:cs="仿宋_GB2312"/>
                <w:color w:val="000000"/>
                <w:kern w:val="0"/>
                <w:sz w:val="24"/>
                <w:szCs w:val="24"/>
              </w:rPr>
              <w:t xml:space="preserve">  </w:t>
            </w:r>
            <w:r>
              <w:rPr>
                <w:rFonts w:hint="eastAsia" w:ascii="仿宋_GB2312" w:hAnsi="仿宋_GB2312" w:cs="仿宋_GB2312"/>
                <w:color w:val="000000"/>
                <w:kern w:val="0"/>
                <w:sz w:val="24"/>
                <w:szCs w:val="24"/>
                <w:lang w:val="zh-TW"/>
              </w:rPr>
              <w:t>勇</w:t>
            </w:r>
          </w:p>
        </w:tc>
        <w:tc>
          <w:tcPr>
            <w:tcW w:w="1512"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陈晓彬</w:t>
            </w:r>
          </w:p>
          <w:p>
            <w:pPr>
              <w:pStyle w:val="3"/>
              <w:jc w:val="center"/>
              <w:rPr>
                <w:rFonts w:hint="eastAsia"/>
                <w:color w:val="000000"/>
              </w:rPr>
            </w:pPr>
            <w:r>
              <w:rPr>
                <w:rFonts w:hint="eastAsia" w:ascii="仿宋_GB2312" w:hAnsi="仿宋_GB2312" w:cs="仿宋_GB2312"/>
                <w:color w:val="000000"/>
                <w:kern w:val="0"/>
                <w:sz w:val="24"/>
                <w:szCs w:val="24"/>
              </w:rPr>
              <w:t>高  翔</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莉</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区司法局</w:t>
            </w:r>
          </w:p>
        </w:tc>
        <w:tc>
          <w:tcPr>
            <w:tcW w:w="3340"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王建军</w:t>
            </w:r>
          </w:p>
        </w:tc>
        <w:tc>
          <w:tcPr>
            <w:tcW w:w="151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李善玲</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区教育局</w:t>
            </w:r>
          </w:p>
        </w:tc>
        <w:tc>
          <w:tcPr>
            <w:tcW w:w="3340"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lang w:val="zh-TW"/>
              </w:rPr>
              <w:t>翁</w:t>
            </w:r>
            <w:r>
              <w:rPr>
                <w:rFonts w:hint="eastAsia" w:ascii="仿宋_GB2312" w:hAnsi="仿宋_GB2312" w:cs="仿宋_GB2312"/>
                <w:color w:val="000000"/>
                <w:kern w:val="0"/>
                <w:sz w:val="24"/>
                <w:szCs w:val="24"/>
              </w:rPr>
              <w:t xml:space="preserve">  晖</w:t>
            </w:r>
          </w:p>
        </w:tc>
        <w:tc>
          <w:tcPr>
            <w:tcW w:w="151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曾世波</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区生态环境局</w:t>
            </w:r>
          </w:p>
        </w:tc>
        <w:tc>
          <w:tcPr>
            <w:tcW w:w="3340"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林清松</w:t>
            </w:r>
          </w:p>
        </w:tc>
        <w:tc>
          <w:tcPr>
            <w:tcW w:w="151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林华娇</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区房管局</w:t>
            </w:r>
          </w:p>
        </w:tc>
        <w:tc>
          <w:tcPr>
            <w:tcW w:w="3340"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黄  勉</w:t>
            </w:r>
          </w:p>
        </w:tc>
        <w:tc>
          <w:tcPr>
            <w:tcW w:w="151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林  菁</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区园林中心</w:t>
            </w:r>
          </w:p>
        </w:tc>
        <w:tc>
          <w:tcPr>
            <w:tcW w:w="3340"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李建国</w:t>
            </w:r>
          </w:p>
        </w:tc>
        <w:tc>
          <w:tcPr>
            <w:tcW w:w="151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汪章翌</w:t>
            </w:r>
          </w:p>
        </w:tc>
      </w:tr>
      <w:tr>
        <w:tblPrEx>
          <w:tblCellMar>
            <w:top w:w="0" w:type="dxa"/>
            <w:left w:w="108" w:type="dxa"/>
            <w:bottom w:w="0" w:type="dxa"/>
            <w:right w:w="108" w:type="dxa"/>
          </w:tblCellMar>
        </w:tblPrEx>
        <w:trPr>
          <w:trHeight w:val="253" w:hRule="atLeast"/>
          <w:jc w:val="center"/>
        </w:trPr>
        <w:tc>
          <w:tcPr>
            <w:tcW w:w="72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区建设局</w:t>
            </w:r>
          </w:p>
        </w:tc>
        <w:tc>
          <w:tcPr>
            <w:tcW w:w="3340"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雯</w:t>
            </w:r>
          </w:p>
        </w:tc>
        <w:tc>
          <w:tcPr>
            <w:tcW w:w="151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吴丹丹</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区自然资源和规划局</w:t>
            </w:r>
          </w:p>
        </w:tc>
        <w:tc>
          <w:tcPr>
            <w:tcW w:w="3340"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郭  斌</w:t>
            </w:r>
          </w:p>
        </w:tc>
        <w:tc>
          <w:tcPr>
            <w:tcW w:w="151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黄  敏</w:t>
            </w:r>
          </w:p>
        </w:tc>
      </w:tr>
      <w:tr>
        <w:tblPrEx>
          <w:tblCellMar>
            <w:top w:w="0" w:type="dxa"/>
            <w:left w:w="108" w:type="dxa"/>
            <w:bottom w:w="0" w:type="dxa"/>
            <w:right w:w="108" w:type="dxa"/>
          </w:tblCellMar>
        </w:tblPrEx>
        <w:trPr>
          <w:trHeight w:val="293" w:hRule="atLeast"/>
          <w:jc w:val="center"/>
        </w:trPr>
        <w:tc>
          <w:tcPr>
            <w:tcW w:w="72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区统计局</w:t>
            </w:r>
          </w:p>
        </w:tc>
        <w:tc>
          <w:tcPr>
            <w:tcW w:w="3340"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林  琳</w:t>
            </w:r>
          </w:p>
        </w:tc>
        <w:tc>
          <w:tcPr>
            <w:tcW w:w="151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刘雪君</w:t>
            </w:r>
          </w:p>
        </w:tc>
      </w:tr>
    </w:tbl>
    <w:p>
      <w:pPr>
        <w:pStyle w:val="3"/>
        <w:spacing w:line="560" w:lineRule="exact"/>
        <w:rPr>
          <w:rFonts w:ascii="仿宋_GB2312" w:hAnsi="仿宋_GB2312" w:cs="仿宋_GB2312"/>
          <w:color w:val="000000"/>
          <w:szCs w:val="32"/>
        </w:rPr>
        <w:sectPr>
          <w:pgSz w:w="16838" w:h="11906" w:orient="landscape"/>
          <w:pgMar w:top="1531" w:right="1701" w:bottom="1531" w:left="1701" w:header="851" w:footer="992" w:gutter="0"/>
          <w:pgNumType w:fmt="numberInDash"/>
          <w:cols w:space="720" w:num="1"/>
          <w:docGrid w:type="lines" w:linePitch="456" w:charSpace="0"/>
        </w:sectPr>
      </w:pPr>
    </w:p>
    <w:p>
      <w:pPr>
        <w:autoSpaceDN w:val="0"/>
        <w:spacing w:line="240" w:lineRule="auto"/>
        <w:jc w:val="left"/>
        <w:rPr>
          <w:rFonts w:hint="eastAsia"/>
          <w:color w:val="000000"/>
        </w:rPr>
      </w:pPr>
    </w:p>
    <w:sectPr>
      <w:footerReference r:id="rId6" w:type="default"/>
      <w:footerReference r:id="rId7" w:type="even"/>
      <w:pgSz w:w="11906" w:h="16838"/>
      <w:pgMar w:top="1967" w:right="1474" w:bottom="1899" w:left="1588" w:header="851" w:footer="1049"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Fonts w:eastAsia="宋体"/>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- 23 -</w:t>
                </w:r>
                <w:r>
                  <w:rPr>
                    <w:sz w:val="28"/>
                    <w:szCs w:val="4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spacing w:line="471" w:lineRule="auto"/>
      <w:ind w:right="308" w:rightChars="100"/>
      <w:jc w:val="right"/>
      <w:rPr>
        <w:rFonts w:hint="eastAsia" w:ascii="楷体_GB2312" w:eastAsia="楷体_GB2312"/>
        <w:sz w:val="28"/>
      </w:rPr>
    </w:pPr>
    <w:r>
      <w:rPr>
        <w:rStyle w:val="9"/>
        <w:rFonts w:hint="eastAsia" w:ascii="宋体" w:hAnsi="宋体" w:eastAsia="宋体"/>
        <w:sz w:val="28"/>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lang w:val="en-US" w:eastAsia="zh-CN"/>
      </w:rPr>
      <w:t>24</w:t>
    </w:r>
    <w:r>
      <w:rPr>
        <w:rFonts w:hint="eastAsia" w:ascii="宋体" w:hAnsi="宋体" w:eastAsia="宋体" w:cs="宋体"/>
        <w:sz w:val="28"/>
        <w:szCs w:val="28"/>
      </w:rPr>
      <w:fldChar w:fldCharType="end"/>
    </w:r>
    <w:r>
      <w:rPr>
        <w:rFonts w:hint="eastAsia" w:ascii="宋体" w:hAnsi="宋体" w:eastAsia="宋体"/>
        <w:sz w:val="28"/>
      </w:rPr>
      <w:t xml:space="preserve"> </w:t>
    </w:r>
    <w:r>
      <w:rPr>
        <w:rStyle w:val="9"/>
        <w:rFonts w:hint="eastAsia" w:ascii="宋体" w:hAnsi="宋体" w:eastAsia="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471" w:lineRule="auto"/>
      <w:ind w:left="308" w:leftChars="100"/>
      <w:jc w:val="left"/>
      <w:rPr>
        <w:rStyle w:val="9"/>
        <w:rFonts w:hint="eastAsia" w:ascii="宋体" w:hAnsi="宋体" w:eastAsia="宋体"/>
        <w:sz w:val="28"/>
      </w:rPr>
    </w:pPr>
    <w:r>
      <w:rPr>
        <w:rStyle w:val="9"/>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 PAGE </w:instrText>
    </w:r>
    <w:r>
      <w:rPr>
        <w:rFonts w:hint="eastAsia" w:ascii="宋体" w:hAnsi="宋体" w:eastAsia="宋体"/>
        <w:sz w:val="28"/>
      </w:rPr>
      <w:fldChar w:fldCharType="separate"/>
    </w:r>
    <w:r>
      <w:rPr>
        <w:rStyle w:val="9"/>
        <w:rFonts w:ascii="宋体" w:hAnsi="宋体" w:eastAsia="宋体"/>
        <w:sz w:val="28"/>
        <w:lang w:val="en-US" w:eastAsia="zh-CN"/>
      </w:rPr>
      <w:t>2</w:t>
    </w:r>
    <w:r>
      <w:rPr>
        <w:rFonts w:hint="eastAsia" w:ascii="宋体" w:hAnsi="宋体" w:eastAsia="宋体"/>
        <w:sz w:val="28"/>
      </w:rPr>
      <w:fldChar w:fldCharType="end"/>
    </w:r>
    <w:r>
      <w:rPr>
        <w:rFonts w:hint="eastAsia" w:ascii="宋体" w:hAnsi="宋体" w:eastAsia="宋体"/>
        <w:sz w:val="28"/>
      </w:rPr>
      <w:t xml:space="preserve"> </w:t>
    </w:r>
    <w:r>
      <w:rPr>
        <w:rStyle w:val="9"/>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2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720"/>
  <w:drawingGridHorizontalSpacing w:val="308"/>
  <w:drawingGridVerticalSpacing w:val="228"/>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iDocStyle" w:val="2"/>
  </w:docVars>
  <w:rsids>
    <w:rsidRoot w:val="FFFFC041"/>
    <w:rsid w:val="000F7E28"/>
    <w:rsid w:val="001A72B8"/>
    <w:rsid w:val="00523273"/>
    <w:rsid w:val="005430A8"/>
    <w:rsid w:val="005E6824"/>
    <w:rsid w:val="006A0FEA"/>
    <w:rsid w:val="0082733A"/>
    <w:rsid w:val="04B0246E"/>
    <w:rsid w:val="04E0470D"/>
    <w:rsid w:val="05556C9B"/>
    <w:rsid w:val="065E0402"/>
    <w:rsid w:val="06D40C09"/>
    <w:rsid w:val="07510C8F"/>
    <w:rsid w:val="08C82627"/>
    <w:rsid w:val="0A0C6602"/>
    <w:rsid w:val="0A7515C7"/>
    <w:rsid w:val="0B6321D6"/>
    <w:rsid w:val="0C0B2D5C"/>
    <w:rsid w:val="0C28596B"/>
    <w:rsid w:val="0C337638"/>
    <w:rsid w:val="0C624F17"/>
    <w:rsid w:val="0DC17C9E"/>
    <w:rsid w:val="0F051AC8"/>
    <w:rsid w:val="0F1E59DC"/>
    <w:rsid w:val="0F9F79E5"/>
    <w:rsid w:val="10090EB2"/>
    <w:rsid w:val="10DA2D47"/>
    <w:rsid w:val="11AA2CD9"/>
    <w:rsid w:val="134D6FF3"/>
    <w:rsid w:val="166770DF"/>
    <w:rsid w:val="17424F9E"/>
    <w:rsid w:val="18FC210A"/>
    <w:rsid w:val="1AFD2B54"/>
    <w:rsid w:val="1B486B8B"/>
    <w:rsid w:val="1C2107EB"/>
    <w:rsid w:val="1E7E2B16"/>
    <w:rsid w:val="1FFE9E02"/>
    <w:rsid w:val="22E070C6"/>
    <w:rsid w:val="23E948EA"/>
    <w:rsid w:val="253B4E3C"/>
    <w:rsid w:val="25BB0C45"/>
    <w:rsid w:val="25BD0EF9"/>
    <w:rsid w:val="25EB5B45"/>
    <w:rsid w:val="268B284C"/>
    <w:rsid w:val="26F51A44"/>
    <w:rsid w:val="27AD5FBC"/>
    <w:rsid w:val="28BE707F"/>
    <w:rsid w:val="28F770C2"/>
    <w:rsid w:val="29CC039F"/>
    <w:rsid w:val="2A0321A1"/>
    <w:rsid w:val="2A8D1D2B"/>
    <w:rsid w:val="2D0C1AF6"/>
    <w:rsid w:val="2D5B73AE"/>
    <w:rsid w:val="2DBC0615"/>
    <w:rsid w:val="2DEBB0CE"/>
    <w:rsid w:val="31557E7B"/>
    <w:rsid w:val="31E267E6"/>
    <w:rsid w:val="325F6603"/>
    <w:rsid w:val="32C93BCA"/>
    <w:rsid w:val="33A22494"/>
    <w:rsid w:val="341F6A59"/>
    <w:rsid w:val="34B67588"/>
    <w:rsid w:val="34C50171"/>
    <w:rsid w:val="3661359A"/>
    <w:rsid w:val="3698771E"/>
    <w:rsid w:val="375B2675"/>
    <w:rsid w:val="386E78AD"/>
    <w:rsid w:val="391F0440"/>
    <w:rsid w:val="3C3D46E8"/>
    <w:rsid w:val="3C543787"/>
    <w:rsid w:val="3C5E520F"/>
    <w:rsid w:val="3DD209D6"/>
    <w:rsid w:val="3E1B0B74"/>
    <w:rsid w:val="3FD93DCD"/>
    <w:rsid w:val="412E4C7F"/>
    <w:rsid w:val="416076DC"/>
    <w:rsid w:val="43A8628C"/>
    <w:rsid w:val="445709AF"/>
    <w:rsid w:val="449E50E2"/>
    <w:rsid w:val="44D14E73"/>
    <w:rsid w:val="452D770D"/>
    <w:rsid w:val="45B71977"/>
    <w:rsid w:val="47307DD7"/>
    <w:rsid w:val="47D04DD3"/>
    <w:rsid w:val="487D16AC"/>
    <w:rsid w:val="487D7AB1"/>
    <w:rsid w:val="48ED7BD1"/>
    <w:rsid w:val="49287F12"/>
    <w:rsid w:val="499524F4"/>
    <w:rsid w:val="49D15369"/>
    <w:rsid w:val="4BEB429E"/>
    <w:rsid w:val="4C3B600E"/>
    <w:rsid w:val="4CD447B5"/>
    <w:rsid w:val="4E373307"/>
    <w:rsid w:val="4FD8612C"/>
    <w:rsid w:val="50892FF4"/>
    <w:rsid w:val="50EF74D3"/>
    <w:rsid w:val="51704512"/>
    <w:rsid w:val="52654633"/>
    <w:rsid w:val="52C10BFB"/>
    <w:rsid w:val="54712998"/>
    <w:rsid w:val="556A77E9"/>
    <w:rsid w:val="58CB6A3A"/>
    <w:rsid w:val="596D709C"/>
    <w:rsid w:val="59911572"/>
    <w:rsid w:val="59AB7E87"/>
    <w:rsid w:val="5A036B9F"/>
    <w:rsid w:val="5A930561"/>
    <w:rsid w:val="5C3A545D"/>
    <w:rsid w:val="5CFE6BBD"/>
    <w:rsid w:val="5D432A17"/>
    <w:rsid w:val="5D5F6B9A"/>
    <w:rsid w:val="5F6C1307"/>
    <w:rsid w:val="5FFF7BCF"/>
    <w:rsid w:val="6346773F"/>
    <w:rsid w:val="637D5ACA"/>
    <w:rsid w:val="656C64A8"/>
    <w:rsid w:val="665541AD"/>
    <w:rsid w:val="676E37C1"/>
    <w:rsid w:val="67D15A64"/>
    <w:rsid w:val="681D3EE5"/>
    <w:rsid w:val="681F23D0"/>
    <w:rsid w:val="686752E2"/>
    <w:rsid w:val="687605C0"/>
    <w:rsid w:val="6A0769C5"/>
    <w:rsid w:val="6B146ABA"/>
    <w:rsid w:val="6B902A58"/>
    <w:rsid w:val="6BED679D"/>
    <w:rsid w:val="6C4C58BD"/>
    <w:rsid w:val="6D05506C"/>
    <w:rsid w:val="6D674069"/>
    <w:rsid w:val="6EDF3990"/>
    <w:rsid w:val="70925DF3"/>
    <w:rsid w:val="71C21AFA"/>
    <w:rsid w:val="72B2510C"/>
    <w:rsid w:val="739D91F2"/>
    <w:rsid w:val="73CD76E7"/>
    <w:rsid w:val="74BF7515"/>
    <w:rsid w:val="74D643FB"/>
    <w:rsid w:val="766772D7"/>
    <w:rsid w:val="7701204E"/>
    <w:rsid w:val="78BE1FA4"/>
    <w:rsid w:val="7B835FAF"/>
    <w:rsid w:val="7CD136D3"/>
    <w:rsid w:val="7DEF2950"/>
    <w:rsid w:val="7DFE66C3"/>
    <w:rsid w:val="7ECA128F"/>
    <w:rsid w:val="7F6FC608"/>
    <w:rsid w:val="7FDE1157"/>
    <w:rsid w:val="9EEFB4A4"/>
    <w:rsid w:val="AF17B9E9"/>
    <w:rsid w:val="B3EBD28B"/>
    <w:rsid w:val="D7BA19A7"/>
    <w:rsid w:val="D7FDDA67"/>
    <w:rsid w:val="DA9A9025"/>
    <w:rsid w:val="DDED877D"/>
    <w:rsid w:val="DFF964E7"/>
    <w:rsid w:val="EFFCBC21"/>
    <w:rsid w:val="F38DBED6"/>
    <w:rsid w:val="FFFFC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8">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Body Text"/>
    <w:basedOn w:val="1"/>
    <w:qFormat/>
    <w:uiPriority w:val="0"/>
    <w:pPr>
      <w:spacing w:after="120"/>
    </w:pPr>
  </w:style>
  <w:style w:type="paragraph" w:styleId="4">
    <w:name w:val="footer"/>
    <w:basedOn w:val="1"/>
    <w:uiPriority w:val="0"/>
    <w:pPr>
      <w:tabs>
        <w:tab w:val="center" w:pos="4153"/>
        <w:tab w:val="right" w:pos="8306"/>
      </w:tabs>
      <w:overflowPunct w:val="0"/>
      <w:autoSpaceDE w:val="0"/>
      <w:autoSpaceDN w:val="0"/>
      <w:adjustRightInd w:val="0"/>
      <w:textAlignment w:val="baseline"/>
    </w:pPr>
    <w:rPr>
      <w:sz w:val="20"/>
    </w:rPr>
  </w:style>
  <w:style w:type="paragraph" w:styleId="5">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6">
    <w:name w:val="Normal (Web)"/>
    <w:basedOn w:val="1"/>
    <w:qFormat/>
    <w:uiPriority w:val="0"/>
    <w:pPr>
      <w:spacing w:before="0" w:beforeAutospacing="0" w:after="0" w:afterAutospacing="0"/>
      <w:ind w:left="0" w:right="0"/>
      <w:jc w:val="left"/>
    </w:pPr>
    <w:rPr>
      <w:kern w:val="0"/>
      <w:sz w:val="24"/>
      <w:lang w:val="en-US" w:eastAsia="zh-CN" w:bidi="ar"/>
    </w:rPr>
  </w:style>
  <w:style w:type="character" w:styleId="9">
    <w:name w:val="page number"/>
    <w:basedOn w:val="8"/>
    <w:qFormat/>
    <w:uiPriority w:val="0"/>
  </w:style>
  <w:style w:type="character" w:styleId="10">
    <w:name w:val="line number"/>
    <w:basedOn w:val="8"/>
    <w:qFormat/>
    <w:uiPriority w:val="0"/>
  </w:style>
  <w:style w:type="character" w:customStyle="1" w:styleId="11">
    <w:name w:val="font61"/>
    <w:basedOn w:val="8"/>
    <w:qFormat/>
    <w:uiPriority w:val="0"/>
    <w:rPr>
      <w:rFonts w:hint="eastAsia" w:ascii="仿宋_GB2312" w:eastAsia="仿宋_GB2312" w:cs="仿宋_GB2312"/>
      <w:color w:val="000000"/>
      <w:sz w:val="20"/>
      <w:szCs w:val="20"/>
      <w:u w:val="none"/>
    </w:rPr>
  </w:style>
  <w:style w:type="character" w:customStyle="1" w:styleId="12">
    <w:name w:val="font81"/>
    <w:basedOn w:val="8"/>
    <w:qFormat/>
    <w:uiPriority w:val="0"/>
    <w:rPr>
      <w:rFonts w:hint="eastAsia" w:ascii="仿宋_GB2312" w:eastAsia="仿宋_GB2312" w:cs="仿宋_GB2312"/>
      <w:color w:val="000000"/>
      <w:sz w:val="20"/>
      <w:szCs w:val="20"/>
      <w:u w:val="none"/>
    </w:rPr>
  </w:style>
  <w:style w:type="character" w:customStyle="1" w:styleId="13">
    <w:name w:val="font131"/>
    <w:basedOn w:val="8"/>
    <w:qFormat/>
    <w:uiPriority w:val="0"/>
    <w:rPr>
      <w:rFonts w:hint="eastAsia" w:ascii="仿宋_GB2312" w:eastAsia="仿宋_GB2312" w:cs="仿宋_GB2312"/>
      <w:color w:val="000000"/>
      <w:sz w:val="20"/>
      <w:szCs w:val="20"/>
      <w:u w:val="none"/>
    </w:rPr>
  </w:style>
  <w:style w:type="character" w:customStyle="1" w:styleId="14">
    <w:name w:val="font111"/>
    <w:basedOn w:val="8"/>
    <w:qFormat/>
    <w:uiPriority w:val="0"/>
    <w:rPr>
      <w:rFonts w:hint="eastAsia" w:ascii="仿宋_GB2312" w:eastAsia="仿宋_GB2312" w:cs="仿宋_GB2312"/>
      <w:b/>
      <w:color w:val="000000"/>
      <w:sz w:val="20"/>
      <w:szCs w:val="20"/>
      <w:u w:val="none"/>
    </w:rPr>
  </w:style>
  <w:style w:type="character" w:customStyle="1" w:styleId="15">
    <w:name w:val="font71"/>
    <w:basedOn w:val="8"/>
    <w:qFormat/>
    <w:uiPriority w:val="0"/>
    <w:rPr>
      <w:rFonts w:hint="eastAsia" w:ascii="仿宋_GB2312" w:eastAsia="仿宋_GB2312" w:cs="仿宋_GB2312"/>
      <w:color w:val="000000"/>
      <w:sz w:val="20"/>
      <w:szCs w:val="20"/>
      <w:u w:val="none"/>
    </w:rPr>
  </w:style>
  <w:style w:type="character" w:customStyle="1" w:styleId="16">
    <w:name w:val="font91"/>
    <w:basedOn w:val="8"/>
    <w:qFormat/>
    <w:uiPriority w:val="0"/>
    <w:rPr>
      <w:rFonts w:hint="eastAsia" w:ascii="仿宋_GB2312" w:eastAsia="仿宋_GB2312" w:cs="仿宋_GB2312"/>
      <w:b/>
      <w:color w:val="000000"/>
      <w:sz w:val="20"/>
      <w:szCs w:val="20"/>
      <w:u w:val="none"/>
    </w:rPr>
  </w:style>
  <w:style w:type="character" w:customStyle="1" w:styleId="17">
    <w:name w:val="font141"/>
    <w:basedOn w:val="8"/>
    <w:qFormat/>
    <w:uiPriority w:val="0"/>
    <w:rPr>
      <w:rFonts w:hint="eastAsia" w:ascii="仿宋_GB2312" w:eastAsia="仿宋_GB2312" w:cs="仿宋_GB2312"/>
      <w:b/>
      <w:color w:val="000000"/>
      <w:sz w:val="20"/>
      <w:szCs w:val="20"/>
      <w:u w:val="none"/>
    </w:rPr>
  </w:style>
  <w:style w:type="character" w:customStyle="1" w:styleId="18">
    <w:name w:val="font151"/>
    <w:basedOn w:val="8"/>
    <w:qFormat/>
    <w:uiPriority w:val="0"/>
    <w:rPr>
      <w:rFonts w:hint="eastAsia" w:ascii="宋体" w:hAnsi="宋体" w:eastAsia="宋体" w:cs="宋体"/>
      <w:b/>
      <w:color w:val="000000"/>
      <w:sz w:val="20"/>
      <w:szCs w:val="20"/>
      <w:u w:val="none"/>
    </w:rPr>
  </w:style>
  <w:style w:type="character" w:customStyle="1" w:styleId="19">
    <w:name w:val="font122"/>
    <w:basedOn w:val="8"/>
    <w:qFormat/>
    <w:uiPriority w:val="0"/>
    <w:rPr>
      <w:rFonts w:hint="default" w:ascii="Times New Roman" w:hAnsi="Times New Roman" w:cs="Times New Roman"/>
      <w:color w:val="000000"/>
      <w:sz w:val="20"/>
      <w:szCs w:val="20"/>
      <w:u w:val="none"/>
    </w:rPr>
  </w:style>
  <w:style w:type="paragraph" w:customStyle="1" w:styleId="20">
    <w:name w:val="居中"/>
    <w:basedOn w:val="1"/>
    <w:qFormat/>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administrator/C:\opt\kingsoft\wps-office\office6\mui\zh_CN\templates\wps\GB9704%20electronic%20document%20templates\approval%20of%20a%20single%20chapter%20iss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approval of a single chapter issu</Template>
  <Pages>24</Pages>
  <Words>3117</Words>
  <Characters>17773</Characters>
  <Lines>148</Lines>
  <Paragraphs>41</Paragraphs>
  <TotalTime>2</TotalTime>
  <ScaleCrop>false</ScaleCrop>
  <LinksUpToDate>false</LinksUpToDate>
  <CharactersWithSpaces>20849</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2019-05-24T16:09:00Z</dcterms:created>
  <dc:creator>陈掠</dc:creator>
  <cp:lastModifiedBy>administrator</cp:lastModifiedBy>
  <cp:lastPrinted>2019-03-18T04:44:00Z</cp:lastPrinted>
  <dcterms:modified xsi:type="dcterms:W3CDTF">2025-02-26T17:10:53Z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公文模板版本">
    <vt:lpwstr>20171116</vt:lpwstr>
  </property>
  <property fmtid="{D5CDD505-2E9C-101B-9397-08002B2CF9AE}" pid="4" name="ICV">
    <vt:lpwstr>697FF908E73FB23B9DDABE6717845CD6</vt:lpwstr>
  </property>
</Properties>
</file>