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atLeast"/>
        <w:ind w:left="0" w:leftChars="0" w:right="0" w:rightChars="0" w:firstLine="0" w:firstLineChars="0"/>
        <w:jc w:val="both"/>
        <w:textAlignment w:val="auto"/>
        <w:outlineLvl w:val="9"/>
        <w:rPr>
          <w:rStyle w:val="5"/>
          <w:rFonts w:hint="eastAsia" w:ascii="黑体" w:hAnsi="黑体" w:eastAsia="黑体" w:cs="黑体"/>
          <w:b w:val="0"/>
          <w:bCs/>
          <w:i w:val="0"/>
          <w:caps w:val="0"/>
          <w:color w:val="333333"/>
          <w:spacing w:val="0"/>
          <w:kern w:val="0"/>
          <w:sz w:val="32"/>
          <w:szCs w:val="32"/>
          <w:shd w:val="clear" w:color="auto" w:fill="FFFFFF"/>
          <w:lang w:val="en-US" w:eastAsia="zh-CN" w:bidi="ar"/>
        </w:rPr>
      </w:pPr>
      <w:r>
        <w:rPr>
          <w:rStyle w:val="5"/>
          <w:rFonts w:hint="eastAsia" w:ascii="黑体" w:hAnsi="黑体" w:eastAsia="黑体" w:cs="黑体"/>
          <w:b w:val="0"/>
          <w:bCs/>
          <w:i w:val="0"/>
          <w:caps w:val="0"/>
          <w:color w:val="333333"/>
          <w:spacing w:val="0"/>
          <w:kern w:val="0"/>
          <w:sz w:val="32"/>
          <w:szCs w:val="32"/>
          <w:shd w:val="clear" w:color="auto" w:fill="FFFFFF"/>
          <w:lang w:val="en-US" w:eastAsia="zh-CN" w:bidi="ar"/>
        </w:rPr>
        <w:t>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atLeast"/>
        <w:ind w:left="0" w:leftChars="0" w:right="0" w:rightChars="0" w:firstLine="0" w:firstLineChars="0"/>
        <w:jc w:val="center"/>
        <w:textAlignment w:val="auto"/>
        <w:outlineLvl w:val="9"/>
        <w:rPr>
          <w:rFonts w:hint="eastAsia" w:ascii="方正小标宋_GBK" w:hAnsi="方正小标宋_GBK" w:eastAsia="方正小标宋_GBK" w:cs="方正小标宋_GBK"/>
          <w:b w:val="0"/>
          <w:bCs/>
          <w:i w:val="0"/>
          <w:caps w:val="0"/>
          <w:color w:val="333333"/>
          <w:spacing w:val="0"/>
          <w:sz w:val="44"/>
          <w:szCs w:val="44"/>
        </w:rPr>
      </w:pPr>
      <w:r>
        <w:rPr>
          <w:rStyle w:val="5"/>
          <w:rFonts w:hint="eastAsia" w:ascii="方正小标宋_GBK" w:hAnsi="方正小标宋_GBK" w:eastAsia="方正小标宋_GBK" w:cs="方正小标宋_GBK"/>
          <w:b w:val="0"/>
          <w:bCs/>
          <w:i w:val="0"/>
          <w:caps w:val="0"/>
          <w:color w:val="333333"/>
          <w:spacing w:val="0"/>
          <w:kern w:val="0"/>
          <w:sz w:val="44"/>
          <w:szCs w:val="44"/>
          <w:shd w:val="clear" w:color="auto" w:fill="FFFFFF"/>
          <w:lang w:val="en-US" w:eastAsia="zh-CN" w:bidi="ar"/>
        </w:rPr>
        <w:t>鼓楼区2019年政务公开工作主要任务分解表</w:t>
      </w:r>
    </w:p>
    <w:tbl>
      <w:tblPr>
        <w:tblStyle w:val="9"/>
        <w:tblW w:w="13920" w:type="dxa"/>
        <w:jc w:val="center"/>
        <w:tblInd w:w="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80"/>
        <w:gridCol w:w="1515"/>
        <w:gridCol w:w="4192"/>
        <w:gridCol w:w="4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blHeader/>
          <w:jc w:val="center"/>
        </w:trPr>
        <w:tc>
          <w:tcPr>
            <w:tcW w:w="3480" w:type="dxa"/>
            <w:tcBorders>
              <w:top w:val="single" w:color="000000" w:sz="8" w:space="0"/>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sz w:val="21"/>
                <w:szCs w:val="21"/>
              </w:rPr>
            </w:pPr>
            <w:r>
              <w:rPr>
                <w:rStyle w:val="5"/>
                <w:rFonts w:hint="eastAsia" w:ascii="宋体" w:hAnsi="宋体" w:eastAsia="宋体" w:cs="宋体"/>
                <w:color w:val="000000"/>
                <w:kern w:val="0"/>
                <w:sz w:val="21"/>
                <w:szCs w:val="21"/>
                <w:vertAlign w:val="baseline"/>
                <w:lang w:val="en-US" w:eastAsia="zh-CN" w:bidi="ar"/>
              </w:rPr>
              <w:t>工 作 任 务</w:t>
            </w:r>
          </w:p>
        </w:tc>
        <w:tc>
          <w:tcPr>
            <w:tcW w:w="1515" w:type="dxa"/>
            <w:tcBorders>
              <w:top w:val="single" w:color="000000" w:sz="8"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sz w:val="21"/>
                <w:szCs w:val="21"/>
              </w:rPr>
            </w:pPr>
            <w:r>
              <w:rPr>
                <w:rStyle w:val="5"/>
                <w:rFonts w:hint="eastAsia" w:ascii="宋体" w:hAnsi="宋体" w:eastAsia="宋体" w:cs="宋体"/>
                <w:color w:val="000000"/>
                <w:kern w:val="0"/>
                <w:sz w:val="21"/>
                <w:szCs w:val="21"/>
                <w:vertAlign w:val="baseline"/>
                <w:lang w:val="en-US" w:eastAsia="zh-CN" w:bidi="ar"/>
              </w:rPr>
              <w:t>牵头单位</w:t>
            </w:r>
          </w:p>
        </w:tc>
        <w:tc>
          <w:tcPr>
            <w:tcW w:w="4192" w:type="dxa"/>
            <w:tcBorders>
              <w:top w:val="single" w:color="000000" w:sz="8"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sz w:val="21"/>
                <w:szCs w:val="21"/>
              </w:rPr>
            </w:pPr>
            <w:r>
              <w:rPr>
                <w:rStyle w:val="5"/>
                <w:rFonts w:hint="eastAsia" w:ascii="宋体" w:hAnsi="宋体" w:eastAsia="宋体" w:cs="宋体"/>
                <w:color w:val="000000"/>
                <w:kern w:val="0"/>
                <w:sz w:val="21"/>
                <w:szCs w:val="21"/>
                <w:vertAlign w:val="baseline"/>
                <w:lang w:val="en-US" w:eastAsia="zh-CN" w:bidi="ar"/>
              </w:rPr>
              <w:t>责</w:t>
            </w:r>
            <w:r>
              <w:rPr>
                <w:rFonts w:hint="eastAsia" w:ascii="宋体" w:hAnsi="宋体" w:eastAsia="宋体" w:cs="宋体"/>
                <w:color w:val="000000"/>
                <w:kern w:val="0"/>
                <w:sz w:val="21"/>
                <w:szCs w:val="21"/>
                <w:vertAlign w:val="baseline"/>
                <w:lang w:val="en-US" w:eastAsia="zh-CN" w:bidi="ar"/>
              </w:rPr>
              <w:t> </w:t>
            </w:r>
            <w:r>
              <w:rPr>
                <w:rStyle w:val="5"/>
                <w:rFonts w:hint="eastAsia" w:ascii="宋体" w:hAnsi="宋体" w:eastAsia="宋体" w:cs="宋体"/>
                <w:color w:val="000000"/>
                <w:kern w:val="0"/>
                <w:sz w:val="21"/>
                <w:szCs w:val="21"/>
                <w:vertAlign w:val="baseline"/>
                <w:lang w:val="en-US" w:eastAsia="zh-CN" w:bidi="ar"/>
              </w:rPr>
              <w:t>任</w:t>
            </w:r>
            <w:r>
              <w:rPr>
                <w:rFonts w:hint="eastAsia" w:ascii="宋体" w:hAnsi="宋体" w:eastAsia="宋体" w:cs="宋体"/>
                <w:color w:val="000000"/>
                <w:kern w:val="0"/>
                <w:sz w:val="21"/>
                <w:szCs w:val="21"/>
                <w:vertAlign w:val="baseline"/>
                <w:lang w:val="en-US" w:eastAsia="zh-CN" w:bidi="ar"/>
              </w:rPr>
              <w:t> </w:t>
            </w:r>
            <w:r>
              <w:rPr>
                <w:rStyle w:val="5"/>
                <w:rFonts w:hint="eastAsia" w:ascii="宋体" w:hAnsi="宋体" w:eastAsia="宋体" w:cs="宋体"/>
                <w:color w:val="000000"/>
                <w:kern w:val="0"/>
                <w:sz w:val="21"/>
                <w:szCs w:val="21"/>
                <w:vertAlign w:val="baseline"/>
                <w:lang w:val="en-US" w:eastAsia="zh-CN" w:bidi="ar"/>
              </w:rPr>
              <w:t>单</w:t>
            </w:r>
            <w:r>
              <w:rPr>
                <w:rFonts w:hint="eastAsia" w:ascii="宋体" w:hAnsi="宋体" w:eastAsia="宋体" w:cs="宋体"/>
                <w:color w:val="000000"/>
                <w:kern w:val="0"/>
                <w:sz w:val="21"/>
                <w:szCs w:val="21"/>
                <w:vertAlign w:val="baseline"/>
                <w:lang w:val="en-US" w:eastAsia="zh-CN" w:bidi="ar"/>
              </w:rPr>
              <w:t> </w:t>
            </w:r>
            <w:r>
              <w:rPr>
                <w:rStyle w:val="5"/>
                <w:rFonts w:hint="eastAsia" w:ascii="宋体" w:hAnsi="宋体" w:eastAsia="宋体" w:cs="宋体"/>
                <w:color w:val="000000"/>
                <w:kern w:val="0"/>
                <w:sz w:val="21"/>
                <w:szCs w:val="21"/>
                <w:vertAlign w:val="baseline"/>
                <w:lang w:val="en-US" w:eastAsia="zh-CN" w:bidi="ar"/>
              </w:rPr>
              <w:t>位</w:t>
            </w:r>
          </w:p>
        </w:tc>
        <w:tc>
          <w:tcPr>
            <w:tcW w:w="4733" w:type="dxa"/>
            <w:tcBorders>
              <w:top w:val="single" w:color="000000" w:sz="8"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sz w:val="21"/>
                <w:szCs w:val="21"/>
              </w:rPr>
            </w:pPr>
            <w:r>
              <w:rPr>
                <w:rStyle w:val="5"/>
                <w:rFonts w:hint="eastAsia" w:ascii="宋体" w:hAnsi="宋体" w:eastAsia="宋体" w:cs="宋体"/>
                <w:color w:val="000000"/>
                <w:kern w:val="0"/>
                <w:sz w:val="21"/>
                <w:szCs w:val="21"/>
                <w:vertAlign w:val="baseline"/>
                <w:lang w:val="en-US" w:eastAsia="zh-CN" w:bidi="ar"/>
              </w:rPr>
              <w:t>工 作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3920" w:type="dxa"/>
            <w:gridSpan w:val="4"/>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sz w:val="21"/>
                <w:szCs w:val="21"/>
              </w:rPr>
            </w:pPr>
            <w:r>
              <w:rPr>
                <w:rFonts w:hint="eastAsia" w:ascii="宋体" w:hAnsi="宋体" w:eastAsia="宋体" w:cs="宋体"/>
                <w:b/>
                <w:bCs/>
                <w:color w:val="000000"/>
                <w:kern w:val="0"/>
                <w:sz w:val="21"/>
                <w:szCs w:val="21"/>
                <w:vertAlign w:val="baseline"/>
                <w:lang w:val="en-US" w:eastAsia="zh-CN" w:bidi="ar"/>
              </w:rPr>
              <w:t>一、加强政策解读，主动引导预期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3920" w:type="dxa"/>
            <w:gridSpan w:val="4"/>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b/>
                <w:color w:val="000000"/>
                <w:kern w:val="0"/>
                <w:sz w:val="21"/>
                <w:szCs w:val="21"/>
                <w:vertAlign w:val="baseline"/>
                <w:lang w:val="en-US" w:eastAsia="zh-CN" w:bidi="ar"/>
              </w:rPr>
              <w:t>（一）深入解读重要政策措施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79" w:hRule="atLeast"/>
          <w:jc w:val="center"/>
        </w:trPr>
        <w:tc>
          <w:tcPr>
            <w:tcW w:w="3480" w:type="dxa"/>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宋体" w:hAnsi="宋体" w:eastAsia="宋体" w:cs="宋体"/>
                <w:sz w:val="21"/>
                <w:szCs w:val="21"/>
                <w:lang w:val="en-US"/>
              </w:rPr>
            </w:pPr>
            <w:r>
              <w:rPr>
                <w:rFonts w:hint="eastAsia" w:ascii="宋体" w:hAnsi="宋体" w:eastAsia="宋体" w:cs="宋体"/>
                <w:color w:val="000000"/>
                <w:kern w:val="0"/>
                <w:sz w:val="21"/>
                <w:szCs w:val="21"/>
                <w:vertAlign w:val="baseline"/>
                <w:lang w:val="en-US" w:eastAsia="zh-CN" w:bidi="ar"/>
              </w:rPr>
              <w:t>1.及时公开、精准解读政策措施，稳定社会预期，提振市场信心</w:t>
            </w:r>
          </w:p>
        </w:tc>
        <w:tc>
          <w:tcPr>
            <w:tcW w:w="1515"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 </w:t>
            </w:r>
          </w:p>
        </w:tc>
        <w:tc>
          <w:tcPr>
            <w:tcW w:w="4192"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lang w:eastAsia="zh-CN"/>
              </w:rPr>
              <w:t>区直各有关单位</w:t>
            </w:r>
          </w:p>
        </w:tc>
        <w:tc>
          <w:tcPr>
            <w:tcW w:w="4733"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围绕2019年经济社会发展主要预期目标、重点任务、重大举措，围绕区委区政府重要部署，及时公开、精准解读相关政策措施，稳定社会预期，提振市场信心。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83" w:hRule="atLeast"/>
          <w:jc w:val="center"/>
        </w:trPr>
        <w:tc>
          <w:tcPr>
            <w:tcW w:w="3480" w:type="dxa"/>
            <w:tcBorders>
              <w:top w:val="nil"/>
              <w:left w:val="single" w:color="000000" w:sz="8" w:space="0"/>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2.坚持“谁起草谁解读”，做到“三同步”</w:t>
            </w:r>
          </w:p>
        </w:tc>
        <w:tc>
          <w:tcPr>
            <w:tcW w:w="1515"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 </w:t>
            </w:r>
          </w:p>
        </w:tc>
        <w:tc>
          <w:tcPr>
            <w:tcW w:w="4192"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lang w:eastAsia="zh-CN"/>
              </w:rPr>
              <w:t>区直各有关单位</w:t>
            </w:r>
          </w:p>
        </w:tc>
        <w:tc>
          <w:tcPr>
            <w:tcW w:w="4733"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坚持“谁起草谁解读”，切实做到政策性文件与解读方案、解读材料同步组织、同步审签、同步部署。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66" w:hRule="atLeast"/>
          <w:jc w:val="center"/>
        </w:trPr>
        <w:tc>
          <w:tcPr>
            <w:tcW w:w="3480" w:type="dxa"/>
            <w:tcBorders>
              <w:top w:val="single" w:color="auto" w:sz="4" w:space="0"/>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3.部门主要负责人要带头解读政策、及时释疑解惑</w:t>
            </w:r>
          </w:p>
        </w:tc>
        <w:tc>
          <w:tcPr>
            <w:tcW w:w="1515"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 </w:t>
            </w:r>
          </w:p>
        </w:tc>
        <w:tc>
          <w:tcPr>
            <w:tcW w:w="4192"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lang w:eastAsia="zh-CN"/>
              </w:rPr>
              <w:t>区直各有关单位</w:t>
            </w:r>
          </w:p>
        </w:tc>
        <w:tc>
          <w:tcPr>
            <w:tcW w:w="4733"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在重要政策出台、重点工作推进、重大事件发生时，相关部门主要负责同志要履行好信息发布、权威定调、自觉把关等职责，带头解读政策、及时释疑解惑。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3920" w:type="dxa"/>
            <w:gridSpan w:val="4"/>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b/>
                <w:color w:val="000000"/>
                <w:kern w:val="0"/>
                <w:sz w:val="21"/>
                <w:szCs w:val="21"/>
                <w:vertAlign w:val="baseline"/>
                <w:lang w:val="en-US" w:eastAsia="zh-CN" w:bidi="ar"/>
              </w:rPr>
              <w:t>（二）积极回应社会关切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21" w:hRule="atLeast"/>
          <w:jc w:val="center"/>
        </w:trPr>
        <w:tc>
          <w:tcPr>
            <w:tcW w:w="3480"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4.做好舆情风险评估研判，制定应对处置预案</w:t>
            </w:r>
          </w:p>
        </w:tc>
        <w:tc>
          <w:tcPr>
            <w:tcW w:w="1515"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sz w:val="21"/>
                <w:szCs w:val="21"/>
              </w:rPr>
            </w:pPr>
          </w:p>
        </w:tc>
        <w:tc>
          <w:tcPr>
            <w:tcW w:w="4192"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lang w:eastAsia="zh-CN"/>
              </w:rPr>
              <w:t>区直各有关单位、各街（镇）</w:t>
            </w:r>
          </w:p>
        </w:tc>
        <w:tc>
          <w:tcPr>
            <w:tcW w:w="4733"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rPr>
              <w:t>牵头起草部门要做好教育、就业、医疗、养老、社会保障、公共卫生、公共安全等涉及群众切身利益、容易引起社会关注的重要改革措施和政策文件</w:t>
            </w:r>
            <w:r>
              <w:rPr>
                <w:rFonts w:hint="eastAsia" w:ascii="宋体" w:hAnsi="宋体" w:eastAsia="宋体" w:cs="宋体"/>
                <w:sz w:val="21"/>
                <w:szCs w:val="21"/>
                <w:lang w:eastAsia="zh-CN"/>
              </w:rPr>
              <w:t>的</w:t>
            </w:r>
            <w:r>
              <w:rPr>
                <w:rFonts w:hint="eastAsia" w:ascii="宋体" w:hAnsi="宋体" w:eastAsia="宋体" w:cs="宋体"/>
                <w:sz w:val="21"/>
                <w:szCs w:val="21"/>
              </w:rPr>
              <w:t>舆情风险评估研判，制定应对处置预案。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30" w:hRule="atLeast"/>
          <w:jc w:val="center"/>
        </w:trPr>
        <w:tc>
          <w:tcPr>
            <w:tcW w:w="3480" w:type="dxa"/>
            <w:tcBorders>
              <w:top w:val="single" w:color="auto" w:sz="4" w:space="0"/>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5.做好重大突发事件舆情风险源头研判，增强回应针对性</w:t>
            </w:r>
          </w:p>
        </w:tc>
        <w:tc>
          <w:tcPr>
            <w:tcW w:w="1515"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sz w:val="21"/>
                <w:szCs w:val="21"/>
              </w:rPr>
            </w:pPr>
          </w:p>
        </w:tc>
        <w:tc>
          <w:tcPr>
            <w:tcW w:w="4192"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lang w:eastAsia="zh-CN"/>
              </w:rPr>
              <w:t>区直各有关单位、各街（镇）</w:t>
            </w:r>
          </w:p>
        </w:tc>
        <w:tc>
          <w:tcPr>
            <w:tcW w:w="4733"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加强重大突发事件舆情风险源头研判，增强回应针对性。加强与宣传、网信等相关部门沟通联系，健全完善重大舆情信息共享、快速反应和协调联动工作机制。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84" w:hRule="atLeast"/>
          <w:jc w:val="center"/>
        </w:trPr>
        <w:tc>
          <w:tcPr>
            <w:tcW w:w="3480" w:type="dxa"/>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宋体" w:hAnsi="宋体" w:eastAsia="宋体" w:cs="宋体"/>
                <w:sz w:val="21"/>
                <w:szCs w:val="21"/>
                <w:lang w:val="en-US"/>
              </w:rPr>
            </w:pPr>
            <w:r>
              <w:rPr>
                <w:rFonts w:hint="eastAsia" w:ascii="宋体" w:hAnsi="宋体" w:eastAsia="宋体" w:cs="宋体"/>
                <w:color w:val="000000"/>
                <w:kern w:val="0"/>
                <w:sz w:val="21"/>
                <w:szCs w:val="21"/>
                <w:vertAlign w:val="baseline"/>
                <w:lang w:val="en-US" w:eastAsia="zh-CN" w:bidi="ar"/>
              </w:rPr>
              <w:t>6.落实政务舆情回应主体责任，加强对经济社会热点、办事创业堵点痛点的舆情监测、研判和回应</w:t>
            </w:r>
          </w:p>
        </w:tc>
        <w:tc>
          <w:tcPr>
            <w:tcW w:w="1515"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sz w:val="21"/>
                <w:szCs w:val="21"/>
              </w:rPr>
            </w:pPr>
          </w:p>
        </w:tc>
        <w:tc>
          <w:tcPr>
            <w:tcW w:w="4192"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lang w:eastAsia="zh-CN"/>
              </w:rPr>
              <w:t>区直各有关单位、各街（镇）</w:t>
            </w:r>
          </w:p>
        </w:tc>
        <w:tc>
          <w:tcPr>
            <w:tcW w:w="4733"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rPr>
              <w:t>将政务舆情回应作为网络舆情处置工作的重要环节，落实政务舆情回应主体责任。加强对经济社会热点、办事创业堵点痛点的舆情监测、研判和回应。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72" w:hRule="atLeast"/>
          <w:jc w:val="center"/>
        </w:trPr>
        <w:tc>
          <w:tcPr>
            <w:tcW w:w="3480" w:type="dxa"/>
            <w:tcBorders>
              <w:top w:val="nil"/>
              <w:left w:val="single" w:color="000000" w:sz="8" w:space="0"/>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7.做好人大代表建议和政协委员提案办理结果信息公开工作</w:t>
            </w:r>
          </w:p>
        </w:tc>
        <w:tc>
          <w:tcPr>
            <w:tcW w:w="1515"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p>
        </w:tc>
        <w:tc>
          <w:tcPr>
            <w:tcW w:w="4192"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lang w:eastAsia="zh-CN"/>
              </w:rPr>
              <w:t>区直各有关单位、各街（镇）</w:t>
            </w:r>
          </w:p>
        </w:tc>
        <w:tc>
          <w:tcPr>
            <w:tcW w:w="4733"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对于涉及公共利益、公众权益、社会关切及需要社会广泛知晓的建议和提案办理复文，原则上都应全文公开。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3920" w:type="dxa"/>
            <w:gridSpan w:val="4"/>
            <w:tcBorders>
              <w:top w:val="single" w:color="auto" w:sz="4" w:space="0"/>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b/>
                <w:color w:val="000000"/>
                <w:kern w:val="0"/>
                <w:sz w:val="21"/>
                <w:szCs w:val="21"/>
                <w:vertAlign w:val="baseline"/>
                <w:lang w:val="en-US" w:eastAsia="zh-CN" w:bidi="ar"/>
              </w:rPr>
              <w:t>（三）增强解读回应效果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00" w:hRule="atLeast"/>
          <w:jc w:val="center"/>
        </w:trPr>
        <w:tc>
          <w:tcPr>
            <w:tcW w:w="3480" w:type="dxa"/>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8.推进政策解读形式多样化</w:t>
            </w:r>
          </w:p>
        </w:tc>
        <w:tc>
          <w:tcPr>
            <w:tcW w:w="1515"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 </w:t>
            </w:r>
          </w:p>
        </w:tc>
        <w:tc>
          <w:tcPr>
            <w:tcW w:w="4192"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lang w:eastAsia="zh-CN"/>
              </w:rPr>
              <w:t>区直各有关单位</w:t>
            </w:r>
          </w:p>
        </w:tc>
        <w:tc>
          <w:tcPr>
            <w:tcW w:w="4733"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出台专业性较强的政策时，牵头起草部门要注重运用客观数据、生动实例等，推广运用图表、图像、视频等多种形式进行形象化、通俗化解读，把政策解释好，避免误解误读。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18" w:hRule="atLeast"/>
          <w:jc w:val="center"/>
        </w:trPr>
        <w:tc>
          <w:tcPr>
            <w:tcW w:w="3480" w:type="dxa"/>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9.积极运用新技术和新媒体，扩大传播范围</w:t>
            </w:r>
          </w:p>
        </w:tc>
        <w:tc>
          <w:tcPr>
            <w:tcW w:w="1515"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 xml:space="preserve"> </w:t>
            </w:r>
          </w:p>
        </w:tc>
        <w:tc>
          <w:tcPr>
            <w:tcW w:w="4192"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lang w:eastAsia="zh-CN"/>
              </w:rPr>
              <w:t>区直各有关单位、各街（镇）</w:t>
            </w:r>
          </w:p>
        </w:tc>
        <w:tc>
          <w:tcPr>
            <w:tcW w:w="4733"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lang w:eastAsia="zh-CN"/>
              </w:rPr>
            </w:pPr>
            <w:r>
              <w:rPr>
                <w:rFonts w:hint="eastAsia" w:ascii="宋体" w:hAnsi="宋体" w:eastAsia="宋体" w:cs="宋体"/>
                <w:sz w:val="21"/>
                <w:szCs w:val="21"/>
              </w:rPr>
              <w:t>发挥政府门户网站等重要载体作用，积极运用政务微博、微信、APP等新技术和新媒体，扩大传播范围</w:t>
            </w:r>
            <w:r>
              <w:rPr>
                <w:rFonts w:hint="eastAsia" w:ascii="宋体" w:hAnsi="宋体" w:eastAsia="宋体" w:cs="宋体"/>
                <w:sz w:val="21"/>
                <w:szCs w:val="21"/>
                <w:lang w:eastAsia="zh-CN"/>
              </w:rPr>
              <w:t>。开展送政策上门、政策宣讲等活动，主动将党和政府的好政策送到企业和群众手上，进一步扩大政策受益面。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3920" w:type="dxa"/>
            <w:gridSpan w:val="4"/>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753"/>
              </w:tabs>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ab/>
            </w:r>
            <w:r>
              <w:rPr>
                <w:rFonts w:hint="eastAsia" w:ascii="宋体" w:hAnsi="宋体" w:eastAsia="宋体" w:cs="宋体"/>
                <w:b/>
                <w:bCs/>
                <w:color w:val="000000"/>
                <w:kern w:val="0"/>
                <w:sz w:val="21"/>
                <w:szCs w:val="21"/>
                <w:vertAlign w:val="baseline"/>
                <w:lang w:val="en-US" w:eastAsia="zh-CN" w:bidi="ar"/>
              </w:rPr>
              <w:t>二、聚焦重点领域，促进政策落实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3920" w:type="dxa"/>
            <w:gridSpan w:val="4"/>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b/>
                <w:color w:val="000000"/>
                <w:kern w:val="0"/>
                <w:sz w:val="21"/>
                <w:szCs w:val="21"/>
                <w:vertAlign w:val="baseline"/>
                <w:lang w:val="en-US" w:eastAsia="zh-CN" w:bidi="ar"/>
              </w:rPr>
              <w:t>（四）推进重要决策公开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61" w:hRule="atLeast"/>
          <w:jc w:val="center"/>
        </w:trPr>
        <w:tc>
          <w:tcPr>
            <w:tcW w:w="3480" w:type="dxa"/>
            <w:tcBorders>
              <w:top w:val="nil"/>
              <w:left w:val="single" w:color="000000" w:sz="8" w:space="0"/>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10.推进重大决策预公开</w:t>
            </w:r>
          </w:p>
        </w:tc>
        <w:tc>
          <w:tcPr>
            <w:tcW w:w="1515"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sz w:val="21"/>
                <w:szCs w:val="21"/>
              </w:rPr>
            </w:pPr>
          </w:p>
        </w:tc>
        <w:tc>
          <w:tcPr>
            <w:tcW w:w="4192"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lang w:eastAsia="zh-CN"/>
              </w:rPr>
              <w:t>区直各有关单位</w:t>
            </w:r>
          </w:p>
        </w:tc>
        <w:tc>
          <w:tcPr>
            <w:tcW w:w="4733"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推进重大决策预公开，涉及公共利益和公众权益的重大事项，除依法应当保密的外，主动向社会公布决策草案、决策依据等，通过多种形式广泛听取意见。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11" w:hRule="atLeast"/>
          <w:jc w:val="center"/>
        </w:trPr>
        <w:tc>
          <w:tcPr>
            <w:tcW w:w="3480" w:type="dxa"/>
            <w:tcBorders>
              <w:top w:val="single" w:color="auto" w:sz="4" w:space="0"/>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11.健全“政企直通车”和企业家参与涉企政策制定</w:t>
            </w:r>
            <w:r>
              <w:rPr>
                <w:rFonts w:hint="eastAsia" w:ascii="宋体" w:hAnsi="宋体" w:eastAsia="宋体" w:cs="宋体"/>
                <w:color w:val="000000"/>
                <w:kern w:val="0"/>
                <w:sz w:val="21"/>
                <w:szCs w:val="21"/>
                <w:highlight w:val="none"/>
                <w:vertAlign w:val="baseline"/>
                <w:lang w:val="en-US" w:eastAsia="zh-CN" w:bidi="ar"/>
              </w:rPr>
              <w:t>机制。全面推广“一企一议”服务企业协调机制</w:t>
            </w:r>
          </w:p>
        </w:tc>
        <w:tc>
          <w:tcPr>
            <w:tcW w:w="1515"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baseline"/>
              <w:outlineLvl w:val="9"/>
              <w:rPr>
                <w:rFonts w:hint="eastAsia" w:ascii="宋体" w:hAnsi="宋体" w:eastAsia="宋体" w:cs="宋体"/>
                <w:sz w:val="21"/>
                <w:szCs w:val="21"/>
              </w:rPr>
            </w:pPr>
          </w:p>
        </w:tc>
        <w:tc>
          <w:tcPr>
            <w:tcW w:w="4192"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宋体" w:hAnsi="宋体" w:eastAsia="宋体" w:cs="宋体"/>
                <w:sz w:val="21"/>
                <w:szCs w:val="21"/>
                <w:lang w:val="en-US"/>
              </w:rPr>
            </w:pPr>
            <w:r>
              <w:rPr>
                <w:rFonts w:hint="eastAsia" w:ascii="宋体" w:hAnsi="宋体" w:eastAsia="宋体" w:cs="宋体"/>
                <w:sz w:val="21"/>
                <w:szCs w:val="21"/>
                <w:lang w:eastAsia="zh-CN"/>
              </w:rPr>
              <w:t>区直各有关单位、各街（镇）</w:t>
            </w:r>
          </w:p>
        </w:tc>
        <w:tc>
          <w:tcPr>
            <w:tcW w:w="4733"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健全“政企直通车”和企业家参与涉企政策制定机制。全面推广“一企一议”服务企业协调机制，想方设法为企业解决审批、用地、用工、融资等问题，及时公开协调问题、采取措施、进展成效等内容。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3920" w:type="dxa"/>
            <w:gridSpan w:val="4"/>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b/>
                <w:color w:val="000000"/>
                <w:kern w:val="0"/>
                <w:sz w:val="21"/>
                <w:szCs w:val="21"/>
                <w:vertAlign w:val="baseline"/>
                <w:lang w:val="en-US" w:eastAsia="zh-CN" w:bidi="ar"/>
              </w:rPr>
              <w:t>（五）推进重要部署执行公开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4" w:hRule="atLeast"/>
          <w:jc w:val="center"/>
        </w:trPr>
        <w:tc>
          <w:tcPr>
            <w:tcW w:w="3480"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12.加大稳增长、促改革、调结构、惠民生、防风险、保稳定系列政策措施的执行和落实情况公开力度</w:t>
            </w:r>
          </w:p>
        </w:tc>
        <w:tc>
          <w:tcPr>
            <w:tcW w:w="1515"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sz w:val="21"/>
                <w:szCs w:val="21"/>
              </w:rPr>
            </w:pPr>
          </w:p>
        </w:tc>
        <w:tc>
          <w:tcPr>
            <w:tcW w:w="4192"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lang w:eastAsia="zh-CN"/>
              </w:rPr>
              <w:t>区直各有关单位</w:t>
            </w:r>
          </w:p>
        </w:tc>
        <w:tc>
          <w:tcPr>
            <w:tcW w:w="4733"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进一步加强督查和审计发现问题及整改落实情况公开，跟踪重大行政决策实施情况，积极开展执行效果评估，及时调整完善，相关情况向社会公开。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3920" w:type="dxa"/>
            <w:gridSpan w:val="4"/>
            <w:tcBorders>
              <w:top w:val="single" w:color="auto" w:sz="4" w:space="0"/>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b/>
                <w:color w:val="000000"/>
                <w:kern w:val="0"/>
                <w:sz w:val="21"/>
                <w:szCs w:val="21"/>
                <w:vertAlign w:val="baseline"/>
                <w:lang w:val="en-US" w:eastAsia="zh-CN" w:bidi="ar"/>
              </w:rPr>
              <w:t>（六）推进行政执法信息公开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74" w:hRule="atLeast"/>
          <w:jc w:val="center"/>
        </w:trPr>
        <w:tc>
          <w:tcPr>
            <w:tcW w:w="3480" w:type="dxa"/>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13.严格落实《福建省全面推行行政执法公示制度执法全过程记录制度重大执法决定法制审核制度实施方案》</w:t>
            </w:r>
          </w:p>
        </w:tc>
        <w:tc>
          <w:tcPr>
            <w:tcW w:w="1515"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Times New Roman" w:hAnsi="Times New Roman" w:eastAsia="仿宋_GB2312" w:cs="Times New Roman"/>
                <w:sz w:val="21"/>
                <w:szCs w:val="21"/>
                <w:lang w:eastAsia="zh-CN"/>
              </w:rPr>
            </w:pPr>
            <w:r>
              <w:rPr>
                <w:rFonts w:hint="eastAsia" w:ascii="宋体" w:hAnsi="宋体" w:eastAsia="宋体" w:cs="宋体"/>
                <w:sz w:val="21"/>
                <w:szCs w:val="21"/>
                <w:highlight w:val="none"/>
                <w:lang w:eastAsia="zh-CN"/>
              </w:rPr>
              <w:t>区司法局</w:t>
            </w:r>
          </w:p>
        </w:tc>
        <w:tc>
          <w:tcPr>
            <w:tcW w:w="4192"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lang w:eastAsia="zh-CN"/>
              </w:rPr>
              <w:t>各行政执法机关</w:t>
            </w:r>
          </w:p>
        </w:tc>
        <w:tc>
          <w:tcPr>
            <w:tcW w:w="4733"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按照“谁执法谁公开”原则，严格落实《福建省全面推行行政执法公示制度执法全过程记录制度重大执法决定法制审核制度实施方案》精神，在行政处罚、行政强制、行政检查、行政征收征用、行政许可等行为中全面推</w:t>
            </w:r>
            <w:r>
              <w:rPr>
                <w:rFonts w:hint="eastAsia" w:ascii="宋体" w:hAnsi="宋体" w:eastAsia="宋体" w:cs="宋体"/>
                <w:color w:val="000000"/>
                <w:kern w:val="0"/>
                <w:sz w:val="21"/>
                <w:szCs w:val="21"/>
                <w:highlight w:val="none"/>
                <w:vertAlign w:val="baseline"/>
                <w:lang w:val="en-US" w:eastAsia="zh-CN" w:bidi="ar"/>
              </w:rPr>
              <w:t>行“三项制度”，着力规</w:t>
            </w:r>
            <w:r>
              <w:rPr>
                <w:rFonts w:hint="eastAsia" w:ascii="宋体" w:hAnsi="宋体" w:eastAsia="宋体" w:cs="宋体"/>
                <w:color w:val="000000"/>
                <w:kern w:val="0"/>
                <w:sz w:val="21"/>
                <w:szCs w:val="21"/>
                <w:vertAlign w:val="baseline"/>
                <w:lang w:val="en-US" w:eastAsia="zh-CN" w:bidi="ar"/>
              </w:rPr>
              <w:t>范行政执法行为。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7" w:hRule="atLeast"/>
          <w:jc w:val="center"/>
        </w:trPr>
        <w:tc>
          <w:tcPr>
            <w:tcW w:w="3480" w:type="dxa"/>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14.建立健全统一的执法信息公示平台，集中向社会依法公开行政执法相关信息</w:t>
            </w:r>
          </w:p>
        </w:tc>
        <w:tc>
          <w:tcPr>
            <w:tcW w:w="1515"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  区司法局</w:t>
            </w:r>
          </w:p>
        </w:tc>
        <w:tc>
          <w:tcPr>
            <w:tcW w:w="4192"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lang w:eastAsia="zh-CN"/>
              </w:rPr>
              <w:t>各行政执法机关</w:t>
            </w:r>
          </w:p>
        </w:tc>
        <w:tc>
          <w:tcPr>
            <w:tcW w:w="4733"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建立健全统一的执法信息公示平台，集中向社会依法公开行政执法相关信息探索建立群众意见反馈互动机制和执法信息公示平台管理维护机制，强化行政执法社会监督。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3920" w:type="dxa"/>
            <w:gridSpan w:val="4"/>
            <w:tcBorders>
              <w:top w:val="single" w:color="auto" w:sz="4" w:space="0"/>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宋体" w:hAnsi="宋体" w:eastAsia="宋体" w:cs="宋体"/>
                <w:sz w:val="21"/>
                <w:szCs w:val="21"/>
                <w:lang w:val="en-US"/>
              </w:rPr>
            </w:pPr>
            <w:r>
              <w:rPr>
                <w:rFonts w:hint="eastAsia" w:ascii="宋体" w:hAnsi="宋体" w:eastAsia="宋体" w:cs="宋体"/>
                <w:b/>
                <w:color w:val="000000"/>
                <w:kern w:val="0"/>
                <w:sz w:val="21"/>
                <w:szCs w:val="21"/>
                <w:vertAlign w:val="baseline"/>
                <w:lang w:val="en-US" w:eastAsia="zh-CN" w:bidi="ar"/>
              </w:rPr>
              <w:t>（七）加强三大攻坚战信息公开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43" w:hRule="atLeast"/>
          <w:jc w:val="center"/>
        </w:trPr>
        <w:tc>
          <w:tcPr>
            <w:tcW w:w="3480" w:type="dxa"/>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15.围绕打好防范化解重大风险攻坚战</w:t>
            </w:r>
          </w:p>
        </w:tc>
        <w:tc>
          <w:tcPr>
            <w:tcW w:w="1515"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区工信局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highlight w:val="none"/>
                <w:vertAlign w:val="baseline"/>
                <w:lang w:val="en-US" w:eastAsia="zh-CN" w:bidi="ar"/>
              </w:rPr>
            </w:pPr>
            <w:r>
              <w:rPr>
                <w:rFonts w:hint="eastAsia" w:ascii="宋体" w:hAnsi="宋体" w:eastAsia="宋体" w:cs="宋体"/>
                <w:color w:val="000000"/>
                <w:kern w:val="0"/>
                <w:sz w:val="21"/>
                <w:szCs w:val="21"/>
                <w:highlight w:val="none"/>
                <w:vertAlign w:val="baseline"/>
                <w:lang w:val="en-US" w:eastAsia="zh-CN" w:bidi="ar"/>
              </w:rPr>
              <w:t>区建设局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highlight w:val="none"/>
                <w:vertAlign w:val="baseline"/>
                <w:lang w:val="en-US" w:eastAsia="zh-CN" w:bidi="ar"/>
              </w:rPr>
              <w:t>区金融办</w:t>
            </w:r>
          </w:p>
        </w:tc>
        <w:tc>
          <w:tcPr>
            <w:tcW w:w="4192"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lang w:eastAsia="zh-CN"/>
              </w:rPr>
              <w:t>区直各有关单位</w:t>
            </w:r>
          </w:p>
        </w:tc>
        <w:tc>
          <w:tcPr>
            <w:tcW w:w="4733"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围绕打好防范化解重大风险攻坚战，强化底线思维，及时依法公开化解政治、经济、科技、社会、外部环境、党的建设等领域重大风险的相关信息。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57" w:hRule="atLeast"/>
          <w:jc w:val="center"/>
        </w:trPr>
        <w:tc>
          <w:tcPr>
            <w:tcW w:w="3480" w:type="dxa"/>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16.围绕打好精准脱贫攻坚战</w:t>
            </w:r>
          </w:p>
        </w:tc>
        <w:tc>
          <w:tcPr>
            <w:tcW w:w="1515"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区财政局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 xml:space="preserve">  区扶贫办 </w:t>
            </w:r>
          </w:p>
        </w:tc>
        <w:tc>
          <w:tcPr>
            <w:tcW w:w="4192" w:type="dxa"/>
            <w:tcBorders>
              <w:top w:val="nil"/>
              <w:left w:val="nil"/>
              <w:bottom w:val="single" w:color="000000" w:sz="8" w:space="0"/>
              <w:right w:val="single" w:color="000000" w:sz="8" w:space="0"/>
            </w:tcBorders>
            <w:tcMar>
              <w:left w:w="28" w:type="dxa"/>
              <w:right w:w="28" w:type="dxa"/>
            </w:tcMar>
            <w:vAlign w:val="center"/>
          </w:tcPr>
          <w:p>
            <w:pPr>
              <w:spacing w:line="580" w:lineRule="exact"/>
              <w:jc w:val="left"/>
              <w:rPr>
                <w:rFonts w:hint="eastAsia" w:ascii="宋体" w:hAnsi="宋体" w:eastAsia="宋体" w:cs="宋体"/>
                <w:sz w:val="21"/>
                <w:szCs w:val="21"/>
              </w:rPr>
            </w:pPr>
            <w:r>
              <w:rPr>
                <w:rFonts w:hint="eastAsia" w:ascii="宋体" w:hAnsi="宋体" w:eastAsia="宋体" w:cs="宋体"/>
                <w:sz w:val="21"/>
                <w:szCs w:val="21"/>
                <w:lang w:eastAsia="zh-CN"/>
              </w:rPr>
              <w:t>区直各有</w:t>
            </w:r>
            <w:r>
              <w:rPr>
                <w:rFonts w:hint="eastAsia" w:ascii="宋体" w:hAnsi="宋体" w:eastAsia="宋体" w:cs="宋体"/>
                <w:sz w:val="21"/>
                <w:szCs w:val="21"/>
                <w:highlight w:val="none"/>
                <w:lang w:eastAsia="zh-CN"/>
              </w:rPr>
              <w:t>关单位、</w:t>
            </w:r>
            <w:r>
              <w:rPr>
                <w:rFonts w:hint="eastAsia" w:ascii="宋体" w:hAnsi="宋体" w:eastAsia="宋体" w:cs="宋体"/>
                <w:color w:val="000000"/>
                <w:kern w:val="0"/>
                <w:sz w:val="21"/>
                <w:szCs w:val="21"/>
                <w:highlight w:val="none"/>
                <w:vertAlign w:val="baseline"/>
                <w:lang w:val="en-US" w:eastAsia="zh-CN" w:bidi="ar"/>
              </w:rPr>
              <w:t>各街（镇）</w:t>
            </w:r>
          </w:p>
        </w:tc>
        <w:tc>
          <w:tcPr>
            <w:tcW w:w="4733"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围绕打好精准脱贫攻坚战，重点做好产业扶贫、就业扶贫、山海协作、东西部扶贫协作和对口支援等相关政策举措、扶贫项目、扶贫资金等信息公开工作。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6" w:hRule="atLeast"/>
          <w:jc w:val="center"/>
        </w:trPr>
        <w:tc>
          <w:tcPr>
            <w:tcW w:w="3480" w:type="dxa"/>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17.围绕打好污染防治攻坚战</w:t>
            </w:r>
          </w:p>
        </w:tc>
        <w:tc>
          <w:tcPr>
            <w:tcW w:w="1515"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outlineLvl w:val="9"/>
              <w:rPr>
                <w:rFonts w:hint="eastAsia" w:ascii="Times New Roman" w:hAnsi="Times New Roman" w:eastAsia="仿宋_GB2312" w:cs="Times New Roman"/>
                <w:sz w:val="21"/>
                <w:szCs w:val="21"/>
                <w:lang w:eastAsia="zh-CN"/>
              </w:rPr>
            </w:pPr>
            <w:r>
              <w:rPr>
                <w:rFonts w:hint="eastAsia" w:ascii="宋体" w:hAnsi="宋体" w:eastAsia="宋体" w:cs="宋体"/>
                <w:sz w:val="21"/>
                <w:szCs w:val="21"/>
                <w:lang w:eastAsia="zh-CN"/>
              </w:rPr>
              <w:t>鼓楼生态环境局</w:t>
            </w:r>
          </w:p>
        </w:tc>
        <w:tc>
          <w:tcPr>
            <w:tcW w:w="4192"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baseline"/>
              <w:outlineLvl w:val="9"/>
              <w:rPr>
                <w:rFonts w:hint="eastAsia" w:ascii="宋体" w:hAnsi="宋体" w:eastAsia="宋体" w:cs="宋体"/>
                <w:sz w:val="21"/>
                <w:szCs w:val="21"/>
              </w:rPr>
            </w:pPr>
            <w:r>
              <w:rPr>
                <w:rFonts w:hint="eastAsia" w:ascii="宋体" w:hAnsi="宋体" w:eastAsia="宋体" w:cs="宋体"/>
                <w:sz w:val="21"/>
                <w:szCs w:val="21"/>
                <w:lang w:eastAsia="zh-CN"/>
              </w:rPr>
              <w:t>区直各有关单位</w:t>
            </w:r>
            <w:r>
              <w:rPr>
                <w:rFonts w:hint="eastAsia" w:ascii="宋体" w:hAnsi="宋体" w:eastAsia="宋体" w:cs="宋体"/>
                <w:sz w:val="21"/>
                <w:szCs w:val="21"/>
                <w:highlight w:val="none"/>
                <w:lang w:eastAsia="zh-CN"/>
              </w:rPr>
              <w:t>、</w:t>
            </w:r>
            <w:r>
              <w:rPr>
                <w:rFonts w:hint="eastAsia" w:ascii="宋体" w:hAnsi="宋体" w:eastAsia="宋体" w:cs="宋体"/>
                <w:color w:val="000000"/>
                <w:kern w:val="0"/>
                <w:sz w:val="21"/>
                <w:szCs w:val="21"/>
                <w:highlight w:val="none"/>
                <w:vertAlign w:val="baseline"/>
                <w:lang w:val="en-US" w:eastAsia="zh-CN" w:bidi="ar"/>
              </w:rPr>
              <w:t>各街（镇）</w:t>
            </w:r>
          </w:p>
        </w:tc>
        <w:tc>
          <w:tcPr>
            <w:tcW w:w="4733"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vertAlign w:val="baseline"/>
                <w:lang w:val="en-US" w:eastAsia="zh-CN" w:bidi="ar"/>
              </w:rPr>
              <w:t>围绕打好污染防治攻坚战，进一步做好大气污染防治、土壤污染防治、水污染防治、固体废弃物处置等生态环境信息公开。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3920" w:type="dxa"/>
            <w:gridSpan w:val="4"/>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宋体" w:hAnsi="宋体" w:eastAsia="宋体" w:cs="宋体"/>
                <w:sz w:val="21"/>
                <w:szCs w:val="21"/>
                <w:lang w:val="en-US"/>
              </w:rPr>
            </w:pPr>
            <w:r>
              <w:rPr>
                <w:rFonts w:hint="eastAsia" w:ascii="宋体" w:hAnsi="宋体" w:eastAsia="宋体" w:cs="宋体"/>
                <w:b/>
                <w:color w:val="000000"/>
                <w:kern w:val="0"/>
                <w:sz w:val="21"/>
                <w:szCs w:val="21"/>
                <w:vertAlign w:val="baseline"/>
                <w:lang w:val="en-US" w:eastAsia="zh-CN" w:bidi="ar"/>
              </w:rPr>
              <w:t>（八）深化“放管服”改革信息公开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47" w:hRule="atLeast"/>
          <w:jc w:val="center"/>
        </w:trPr>
        <w:tc>
          <w:tcPr>
            <w:tcW w:w="3480" w:type="dxa"/>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18.推进“互联网+政务服务”工作</w:t>
            </w:r>
          </w:p>
        </w:tc>
        <w:tc>
          <w:tcPr>
            <w:tcW w:w="1515"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区发改局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区行政服务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中心管委会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鼓楼税务局</w:t>
            </w:r>
          </w:p>
        </w:tc>
        <w:tc>
          <w:tcPr>
            <w:tcW w:w="4192"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lang w:eastAsia="zh-CN"/>
              </w:rPr>
              <w:t>区直各有关单位</w:t>
            </w:r>
          </w:p>
        </w:tc>
        <w:tc>
          <w:tcPr>
            <w:tcW w:w="4733"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围绕“放管服”改革新任务新举措，推进“互联网+政务服务”工作，着力做好实施更大规模的减税降费、“证照分离”改革、工程建设项目审批制度改革、压缩企业开办时间、优化企业注销办理流程、压减行政许可、市场准入负面清单动态调整、清理规范基层各类涉企乱收费项目、深入推进大众创业万众创新等方面的信息公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96" w:hRule="atLeast"/>
          <w:jc w:val="center"/>
        </w:trPr>
        <w:tc>
          <w:tcPr>
            <w:tcW w:w="3480" w:type="dxa"/>
            <w:tcBorders>
              <w:top w:val="nil"/>
              <w:left w:val="single" w:color="000000" w:sz="8" w:space="0"/>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19.推动网上办事服务事项标准化</w:t>
            </w:r>
          </w:p>
        </w:tc>
        <w:tc>
          <w:tcPr>
            <w:tcW w:w="1515"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区行政服务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中心管委会</w:t>
            </w:r>
          </w:p>
        </w:tc>
        <w:tc>
          <w:tcPr>
            <w:tcW w:w="4192"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lang w:eastAsia="zh-CN"/>
              </w:rPr>
              <w:t>区直各有关单位</w:t>
            </w:r>
          </w:p>
        </w:tc>
        <w:tc>
          <w:tcPr>
            <w:tcW w:w="4733"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立足于方便企业和群众办事，从审批事项设立、审查审核规则、服务场所建设、网上审批运行、办理机制创新、监督检查及评价等方面推进落实行政审批标准化改革。扎实推进区直单位行政审批标准化改革示范试点工作，将条件成熟的示范试点经验上升为地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74" w:hRule="atLeast"/>
          <w:jc w:val="center"/>
        </w:trPr>
        <w:tc>
          <w:tcPr>
            <w:tcW w:w="3480" w:type="dxa"/>
            <w:tcBorders>
              <w:top w:val="single" w:color="auto" w:sz="4" w:space="0"/>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20.加快建立健全以“双随机、一公开”监管为基本手段、以重点监管为补充、以信用监管为基础的新型监管机制</w:t>
            </w:r>
          </w:p>
        </w:tc>
        <w:tc>
          <w:tcPr>
            <w:tcW w:w="1515"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区市场监管局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区发改局</w:t>
            </w:r>
          </w:p>
        </w:tc>
        <w:tc>
          <w:tcPr>
            <w:tcW w:w="4192"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sz w:val="21"/>
                <w:szCs w:val="21"/>
                <w:lang w:eastAsia="zh-CN"/>
              </w:rPr>
              <w:t>区直各有关单位</w:t>
            </w:r>
          </w:p>
        </w:tc>
        <w:tc>
          <w:tcPr>
            <w:tcW w:w="4733"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定期、不定期开展“双随机、一公开”抽查工作，加快建立健全以“双随机、一公开”监管为基本手段、以重点监管为补充、以信用监管为基础的新型监管机制，将检查处置结果全部通过国家企业信用信息公示系统、“信用福州”网站和鼓楼区门户网站的“信用专栏”公开。推进《政府部门“双随机、一公开”监管工作规范（DB35/T1792-2018）》省地方标准的宣传贯彻实施，让随机不随意、监管不任性、公开更公正。推行市场主体和个人“全生命周期”的办事服务事项集成式、一站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72" w:hRule="atLeast"/>
          <w:jc w:val="center"/>
        </w:trPr>
        <w:tc>
          <w:tcPr>
            <w:tcW w:w="3480" w:type="dxa"/>
            <w:tcBorders>
              <w:top w:val="single" w:color="auto" w:sz="4" w:space="0"/>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21.加大各类证明事项清理减并力度</w:t>
            </w:r>
          </w:p>
        </w:tc>
        <w:tc>
          <w:tcPr>
            <w:tcW w:w="1515"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区发改局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区行政服务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中心管委会</w:t>
            </w:r>
          </w:p>
        </w:tc>
        <w:tc>
          <w:tcPr>
            <w:tcW w:w="4192"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lang w:eastAsia="zh-CN"/>
              </w:rPr>
              <w:t>区直各有关单位</w:t>
            </w:r>
          </w:p>
        </w:tc>
        <w:tc>
          <w:tcPr>
            <w:tcW w:w="4733"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加大各类证明事项清理减并力度，对确需保留的证明事项实行</w:t>
            </w:r>
            <w:r>
              <w:rPr>
                <w:rFonts w:hint="eastAsia" w:ascii="宋体" w:hAnsi="宋体" w:eastAsia="宋体" w:cs="宋体"/>
                <w:color w:val="000000"/>
                <w:kern w:val="0"/>
                <w:sz w:val="21"/>
                <w:szCs w:val="21"/>
                <w:highlight w:val="none"/>
                <w:vertAlign w:val="baseline"/>
                <w:lang w:val="en-US" w:eastAsia="zh-CN" w:bidi="ar"/>
              </w:rPr>
              <w:t>清单管理并向社会公开。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3920" w:type="dxa"/>
            <w:gridSpan w:val="4"/>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lang w:val="en-US"/>
              </w:rPr>
            </w:pPr>
            <w:r>
              <w:rPr>
                <w:rFonts w:hint="eastAsia" w:ascii="宋体" w:hAnsi="宋体" w:eastAsia="宋体" w:cs="宋体"/>
                <w:b/>
                <w:color w:val="000000"/>
                <w:kern w:val="0"/>
                <w:sz w:val="21"/>
                <w:szCs w:val="21"/>
                <w:vertAlign w:val="baseline"/>
                <w:lang w:val="en-US" w:eastAsia="zh-CN" w:bidi="ar"/>
              </w:rPr>
              <w:t>（九）强化重点民生领域信息公开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42" w:hRule="atLeast"/>
          <w:jc w:val="center"/>
        </w:trPr>
        <w:tc>
          <w:tcPr>
            <w:tcW w:w="3480" w:type="dxa"/>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22.及时公开促进就业创业的政策措施</w:t>
            </w:r>
          </w:p>
        </w:tc>
        <w:tc>
          <w:tcPr>
            <w:tcW w:w="1515"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区人社局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区退役军人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事务局</w:t>
            </w:r>
          </w:p>
        </w:tc>
        <w:tc>
          <w:tcPr>
            <w:tcW w:w="4192"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lang w:eastAsia="zh-CN"/>
              </w:rPr>
              <w:t>区直各有关单位、</w:t>
            </w:r>
            <w:r>
              <w:rPr>
                <w:rFonts w:hint="eastAsia" w:ascii="宋体" w:hAnsi="宋体" w:eastAsia="宋体" w:cs="宋体"/>
                <w:color w:val="000000"/>
                <w:kern w:val="0"/>
                <w:sz w:val="21"/>
                <w:szCs w:val="21"/>
                <w:highlight w:val="none"/>
                <w:vertAlign w:val="baseline"/>
                <w:lang w:val="en-US" w:eastAsia="zh-CN" w:bidi="ar"/>
              </w:rPr>
              <w:t>各街（镇）</w:t>
            </w:r>
          </w:p>
        </w:tc>
        <w:tc>
          <w:tcPr>
            <w:tcW w:w="4733"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及</w:t>
            </w:r>
            <w:r>
              <w:rPr>
                <w:rFonts w:hint="eastAsia" w:ascii="宋体" w:hAnsi="宋体" w:eastAsia="宋体" w:cs="宋体"/>
                <w:color w:val="000000"/>
                <w:kern w:val="0"/>
                <w:sz w:val="21"/>
                <w:szCs w:val="21"/>
                <w:highlight w:val="none"/>
                <w:vertAlign w:val="baseline"/>
                <w:lang w:val="en-US" w:eastAsia="zh-CN" w:bidi="ar"/>
              </w:rPr>
              <w:t>时公开促进就业创业的政策措施、就业供求信息，做好面向高校毕业生、退役军人、下岗职工、农民工等重点群体的就业专项活动和高职</w:t>
            </w:r>
            <w:r>
              <w:rPr>
                <w:rFonts w:hint="eastAsia" w:ascii="宋体" w:hAnsi="宋体" w:eastAsia="宋体" w:cs="宋体"/>
                <w:color w:val="000000"/>
                <w:kern w:val="0"/>
                <w:sz w:val="21"/>
                <w:szCs w:val="21"/>
                <w:vertAlign w:val="baseline"/>
                <w:lang w:val="en-US" w:eastAsia="zh-CN" w:bidi="ar"/>
              </w:rPr>
              <w:t>院校考试招生信息、奖助学金政策的公开工作。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41" w:hRule="atLeast"/>
          <w:jc w:val="center"/>
        </w:trPr>
        <w:tc>
          <w:tcPr>
            <w:tcW w:w="3480" w:type="dxa"/>
            <w:tcBorders>
              <w:top w:val="nil"/>
              <w:left w:val="single" w:color="000000" w:sz="8" w:space="0"/>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23.做好教育领域的信息公开工作</w:t>
            </w:r>
          </w:p>
        </w:tc>
        <w:tc>
          <w:tcPr>
            <w:tcW w:w="1515"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区教育局 </w:t>
            </w:r>
          </w:p>
        </w:tc>
        <w:tc>
          <w:tcPr>
            <w:tcW w:w="4192"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lang w:eastAsia="zh-CN"/>
              </w:rPr>
              <w:t>区直各有关单位</w:t>
            </w:r>
          </w:p>
        </w:tc>
        <w:tc>
          <w:tcPr>
            <w:tcW w:w="4733"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通过多种形式及时公开义务教育招生政策、招生范围、招生程序、报名条件、学校情况、录取结果、咨询方式等信息，以及多渠道扩大学前教育供给的相关信息，促进发展更加公平更有质量的教育。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67" w:hRule="atLeast"/>
          <w:jc w:val="center"/>
        </w:trPr>
        <w:tc>
          <w:tcPr>
            <w:tcW w:w="3480" w:type="dxa"/>
            <w:tcBorders>
              <w:top w:val="nil"/>
              <w:left w:val="single" w:color="000000" w:sz="8" w:space="0"/>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24.做好医疗领域信息公开工作</w:t>
            </w:r>
          </w:p>
        </w:tc>
        <w:tc>
          <w:tcPr>
            <w:tcW w:w="1515"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区卫健局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highlight w:val="none"/>
                <w:vertAlign w:val="baseline"/>
                <w:lang w:val="en-US" w:eastAsia="zh-CN" w:bidi="ar"/>
              </w:rPr>
            </w:pPr>
            <w:r>
              <w:rPr>
                <w:rFonts w:hint="eastAsia" w:ascii="宋体" w:hAnsi="宋体" w:eastAsia="宋体" w:cs="宋体"/>
                <w:color w:val="000000"/>
                <w:kern w:val="0"/>
                <w:sz w:val="21"/>
                <w:szCs w:val="21"/>
                <w:highlight w:val="none"/>
                <w:vertAlign w:val="baseline"/>
                <w:lang w:val="en-US" w:eastAsia="zh-CN" w:bidi="ar"/>
              </w:rPr>
              <w:t>区医保局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区市场监管局</w:t>
            </w:r>
          </w:p>
        </w:tc>
        <w:tc>
          <w:tcPr>
            <w:tcW w:w="4192"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区直各有关单位</w:t>
            </w:r>
          </w:p>
        </w:tc>
        <w:tc>
          <w:tcPr>
            <w:tcW w:w="4733"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color w:val="000000"/>
                <w:kern w:val="0"/>
                <w:sz w:val="21"/>
                <w:szCs w:val="21"/>
                <w:highlight w:val="none"/>
                <w:vertAlign w:val="baseline"/>
                <w:lang w:val="en-US" w:eastAsia="zh-CN" w:bidi="ar"/>
              </w:rPr>
            </w:pPr>
            <w:r>
              <w:rPr>
                <w:rFonts w:hint="eastAsia" w:ascii="宋体" w:hAnsi="宋体" w:eastAsia="宋体" w:cs="宋体"/>
                <w:color w:val="000000"/>
                <w:kern w:val="0"/>
                <w:sz w:val="21"/>
                <w:szCs w:val="21"/>
                <w:highlight w:val="none"/>
                <w:vertAlign w:val="baseline"/>
                <w:lang w:val="en-US" w:eastAsia="zh-CN" w:bidi="ar"/>
              </w:rPr>
              <w:t>围绕保障人民群众身体健康，加大医疗服务、药品安全、医保监管、疫苗监管、公立医疗卫生机构绩效考核结果等方面信息公开力度。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14" w:hRule="atLeast"/>
          <w:jc w:val="center"/>
        </w:trPr>
        <w:tc>
          <w:tcPr>
            <w:tcW w:w="3480" w:type="dxa"/>
            <w:tcBorders>
              <w:top w:val="nil"/>
              <w:left w:val="single" w:color="000000" w:sz="8" w:space="0"/>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25.推进征地信息主动公开</w:t>
            </w:r>
          </w:p>
        </w:tc>
        <w:tc>
          <w:tcPr>
            <w:tcW w:w="1515"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区自然资源和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规划局</w:t>
            </w:r>
          </w:p>
        </w:tc>
        <w:tc>
          <w:tcPr>
            <w:tcW w:w="4192"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区直各有关单位、</w:t>
            </w:r>
            <w:r>
              <w:rPr>
                <w:rFonts w:hint="eastAsia" w:ascii="宋体" w:hAnsi="宋体" w:eastAsia="宋体" w:cs="宋体"/>
                <w:color w:val="000000"/>
                <w:kern w:val="0"/>
                <w:sz w:val="21"/>
                <w:szCs w:val="21"/>
                <w:highlight w:val="none"/>
                <w:vertAlign w:val="baseline"/>
                <w:lang w:val="en-US" w:eastAsia="zh-CN" w:bidi="ar"/>
              </w:rPr>
              <w:t>洪山镇</w:t>
            </w:r>
          </w:p>
        </w:tc>
        <w:tc>
          <w:tcPr>
            <w:tcW w:w="4733"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color w:val="000000"/>
                <w:kern w:val="0"/>
                <w:sz w:val="21"/>
                <w:szCs w:val="21"/>
                <w:highlight w:val="none"/>
                <w:vertAlign w:val="baseline"/>
                <w:lang w:val="en-US" w:eastAsia="zh-CN" w:bidi="ar"/>
              </w:rPr>
            </w:pPr>
            <w:r>
              <w:rPr>
                <w:rFonts w:hint="eastAsia" w:ascii="宋体" w:hAnsi="宋体" w:eastAsia="宋体" w:cs="宋体"/>
                <w:color w:val="000000"/>
                <w:kern w:val="0"/>
                <w:sz w:val="21"/>
                <w:szCs w:val="21"/>
                <w:highlight w:val="none"/>
                <w:vertAlign w:val="baseline"/>
                <w:lang w:val="en-US" w:eastAsia="zh-CN" w:bidi="ar"/>
              </w:rPr>
              <w:t>按照自然资源部征地信息公开指引及相关要求，进一步推进征地信息主动公开。乡镇人民政府应当根据本地方具体情况，主动公开贯彻落实农业农村政策、农田水利工程建设运营、农村土地承包经营权流转、宅基地使用情况审核、土地征收、房屋征收、筹资筹劳、社会救助等方面的政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36" w:hRule="atLeast"/>
          <w:jc w:val="center"/>
        </w:trPr>
        <w:tc>
          <w:tcPr>
            <w:tcW w:w="3480" w:type="dxa"/>
            <w:tcBorders>
              <w:top w:val="nil"/>
              <w:left w:val="single" w:color="000000" w:sz="8" w:space="0"/>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26.做好公共服务、公益事业、社会救助等民生领域信息公开工作</w:t>
            </w:r>
          </w:p>
        </w:tc>
        <w:tc>
          <w:tcPr>
            <w:tcW w:w="1515"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区民政局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区文体旅局</w:t>
            </w:r>
          </w:p>
        </w:tc>
        <w:tc>
          <w:tcPr>
            <w:tcW w:w="4192"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highlight w:val="none"/>
                <w:lang w:eastAsia="zh-CN"/>
              </w:rPr>
              <w:t>区直各有关单位、各街（镇）</w:t>
            </w:r>
          </w:p>
        </w:tc>
        <w:tc>
          <w:tcPr>
            <w:tcW w:w="4733"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做好公共服务、公益事业、社会救助等民生领域信息公开工作。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3920" w:type="dxa"/>
            <w:gridSpan w:val="4"/>
            <w:tcBorders>
              <w:top w:val="single" w:color="auto" w:sz="4" w:space="0"/>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b/>
                <w:color w:val="000000"/>
                <w:kern w:val="0"/>
                <w:sz w:val="21"/>
                <w:szCs w:val="21"/>
                <w:vertAlign w:val="baseline"/>
                <w:lang w:val="en-US" w:eastAsia="zh-CN" w:bidi="ar"/>
              </w:rPr>
              <w:t>（十）细化财政信息公开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2" w:hRule="atLeast"/>
          <w:jc w:val="center"/>
        </w:trPr>
        <w:tc>
          <w:tcPr>
            <w:tcW w:w="3480" w:type="dxa"/>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b w:val="0"/>
                <w:bCs/>
                <w:color w:val="000000"/>
                <w:kern w:val="0"/>
                <w:sz w:val="21"/>
                <w:szCs w:val="21"/>
                <w:vertAlign w:val="baseline"/>
                <w:lang w:val="en-US" w:eastAsia="zh-CN" w:bidi="ar"/>
              </w:rPr>
              <w:t>27.细化财政信息公开</w:t>
            </w:r>
          </w:p>
        </w:tc>
        <w:tc>
          <w:tcPr>
            <w:tcW w:w="1515"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区财政局</w:t>
            </w:r>
          </w:p>
        </w:tc>
        <w:tc>
          <w:tcPr>
            <w:tcW w:w="4192"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sz w:val="21"/>
                <w:szCs w:val="21"/>
                <w:lang w:eastAsia="zh-CN"/>
              </w:rPr>
              <w:t>区直各有关单位、</w:t>
            </w:r>
            <w:r>
              <w:rPr>
                <w:rFonts w:hint="eastAsia" w:ascii="宋体" w:hAnsi="宋体" w:eastAsia="宋体" w:cs="宋体"/>
                <w:color w:val="000000"/>
                <w:kern w:val="0"/>
                <w:sz w:val="21"/>
                <w:szCs w:val="21"/>
                <w:highlight w:val="none"/>
                <w:vertAlign w:val="baseline"/>
                <w:lang w:val="en-US" w:eastAsia="zh-CN" w:bidi="ar"/>
              </w:rPr>
              <w:t>各街（镇）</w:t>
            </w:r>
          </w:p>
        </w:tc>
        <w:tc>
          <w:tcPr>
            <w:tcW w:w="4733"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全面公开专项资金立项依据、实施主体、预算安排、绩效目标、绩效自评结果、绩效评价报告等情况。推进地方政府债务信息公开，各级财政部门定期公开地方政府债务限额、余额、使用安排及还本付息等信息。除涉密信息外，各级政府和部门要及时主动公开预决算情</w:t>
            </w:r>
            <w:r>
              <w:rPr>
                <w:rFonts w:hint="eastAsia" w:ascii="宋体" w:hAnsi="宋体" w:eastAsia="宋体" w:cs="宋体"/>
                <w:color w:val="000000"/>
                <w:kern w:val="0"/>
                <w:sz w:val="21"/>
                <w:szCs w:val="21"/>
                <w:highlight w:val="none"/>
                <w:vertAlign w:val="baseline"/>
                <w:lang w:val="en-US" w:eastAsia="zh-CN" w:bidi="ar"/>
              </w:rPr>
              <w:t>况和政府集中采购项目的目录、标准和实施情况。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3920" w:type="dxa"/>
            <w:gridSpan w:val="4"/>
            <w:tcBorders>
              <w:top w:val="nil"/>
              <w:left w:val="single" w:color="000000" w:sz="8" w:space="0"/>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default" w:ascii="Times New Roman" w:hAnsi="Times New Roman" w:eastAsia="仿宋_GB2312" w:cs="Times New Roman"/>
                <w:sz w:val="21"/>
                <w:szCs w:val="21"/>
                <w:lang w:val="en-US" w:eastAsia="zh-CN"/>
              </w:rPr>
            </w:pPr>
            <w:r>
              <w:rPr>
                <w:rFonts w:hint="eastAsia" w:ascii="宋体" w:hAnsi="宋体" w:eastAsia="宋体" w:cs="宋体"/>
                <w:b/>
                <w:bCs/>
                <w:sz w:val="21"/>
                <w:szCs w:val="21"/>
                <w:lang w:eastAsia="zh-CN"/>
              </w:rPr>
              <w:t>三、规范公开平台，优化服务功能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3920" w:type="dxa"/>
            <w:gridSpan w:val="4"/>
            <w:tcBorders>
              <w:top w:val="nil"/>
              <w:left w:val="single" w:color="000000" w:sz="8" w:space="0"/>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baseline"/>
              <w:outlineLvl w:val="9"/>
              <w:rPr>
                <w:rFonts w:hint="eastAsia" w:ascii="宋体" w:hAnsi="宋体" w:eastAsia="宋体" w:cs="宋体"/>
                <w:b/>
                <w:bCs/>
                <w:sz w:val="21"/>
                <w:szCs w:val="21"/>
                <w:lang w:eastAsia="zh-CN"/>
              </w:rPr>
            </w:pPr>
            <w:r>
              <w:rPr>
                <w:rFonts w:hint="eastAsia" w:ascii="宋体" w:hAnsi="宋体" w:eastAsia="宋体" w:cs="宋体"/>
                <w:b/>
                <w:bCs/>
                <w:color w:val="000000"/>
                <w:kern w:val="0"/>
                <w:sz w:val="21"/>
                <w:szCs w:val="21"/>
                <w:vertAlign w:val="baseline"/>
                <w:lang w:val="en-US" w:eastAsia="zh-CN" w:bidi="ar"/>
              </w:rPr>
              <w:t>（十一）推进政府网站优质规范发展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85" w:hRule="atLeast"/>
          <w:jc w:val="center"/>
        </w:trPr>
        <w:tc>
          <w:tcPr>
            <w:tcW w:w="3480"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28.提高政府网站管理服务水平</w:t>
            </w:r>
          </w:p>
        </w:tc>
        <w:tc>
          <w:tcPr>
            <w:tcW w:w="1515"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Times New Roman" w:hAnsi="Times New Roman" w:eastAsia="仿宋_GB2312" w:cs="Times New Roman"/>
                <w:sz w:val="21"/>
                <w:szCs w:val="21"/>
                <w:lang w:eastAsia="zh-CN"/>
              </w:rPr>
            </w:pPr>
            <w:r>
              <w:rPr>
                <w:rFonts w:hint="eastAsia" w:ascii="宋体" w:hAnsi="宋体" w:eastAsia="宋体" w:cs="宋体"/>
                <w:sz w:val="21"/>
                <w:szCs w:val="21"/>
                <w:lang w:eastAsia="zh-CN"/>
              </w:rPr>
              <w:t>区数字办</w:t>
            </w:r>
          </w:p>
        </w:tc>
        <w:tc>
          <w:tcPr>
            <w:tcW w:w="4192"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sz w:val="21"/>
                <w:szCs w:val="21"/>
                <w:lang w:eastAsia="zh-CN"/>
              </w:rPr>
              <w:t>区直各有关单位、</w:t>
            </w:r>
            <w:r>
              <w:rPr>
                <w:rFonts w:hint="eastAsia" w:ascii="宋体" w:hAnsi="宋体" w:eastAsia="宋体" w:cs="宋体"/>
                <w:color w:val="000000"/>
                <w:kern w:val="0"/>
                <w:sz w:val="21"/>
                <w:szCs w:val="21"/>
                <w:highlight w:val="none"/>
                <w:vertAlign w:val="baseline"/>
                <w:lang w:val="en-US" w:eastAsia="zh-CN" w:bidi="ar"/>
              </w:rPr>
              <w:t>各街（镇）</w:t>
            </w:r>
          </w:p>
        </w:tc>
        <w:tc>
          <w:tcPr>
            <w:tcW w:w="4733"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贯彻落实《福建省人民政府办公厅转发国务院办公厅关于印发政府网站发展指引的通知》（闽政办〔2017〕65号），强化责任管理，做好常态化抽查通报，不断提高政府网站管理服务水平。完善政府网站安全保障机制，做好防攻击、防篡改、防病毒等工作。建立健全政府网站用户信息保护制度，确保用户信息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80" w:hRule="atLeast"/>
          <w:jc w:val="center"/>
        </w:trPr>
        <w:tc>
          <w:tcPr>
            <w:tcW w:w="3480" w:type="dxa"/>
            <w:tcBorders>
              <w:top w:val="nil"/>
              <w:left w:val="single" w:color="000000" w:sz="8" w:space="0"/>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29.加快推进政府网站集约化，持续提升政府网上履职能力和服务水平</w:t>
            </w:r>
          </w:p>
        </w:tc>
        <w:tc>
          <w:tcPr>
            <w:tcW w:w="1515"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default" w:ascii="Times New Roman" w:hAnsi="Times New Roman" w:cs="Times New Roman"/>
                <w:sz w:val="21"/>
                <w:szCs w:val="21"/>
              </w:rPr>
            </w:pPr>
            <w:r>
              <w:rPr>
                <w:rFonts w:hint="eastAsia" w:ascii="宋体" w:hAnsi="宋体" w:eastAsia="宋体" w:cs="宋体"/>
                <w:sz w:val="21"/>
                <w:szCs w:val="21"/>
                <w:lang w:eastAsia="zh-CN"/>
              </w:rPr>
              <w:t>区数字办</w:t>
            </w:r>
          </w:p>
        </w:tc>
        <w:tc>
          <w:tcPr>
            <w:tcW w:w="4192"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sz w:val="21"/>
                <w:szCs w:val="21"/>
                <w:lang w:eastAsia="zh-CN"/>
              </w:rPr>
              <w:t>区直各有关单位、</w:t>
            </w:r>
            <w:r>
              <w:rPr>
                <w:rFonts w:hint="eastAsia" w:ascii="宋体" w:hAnsi="宋体" w:eastAsia="宋体" w:cs="宋体"/>
                <w:color w:val="000000"/>
                <w:kern w:val="0"/>
                <w:sz w:val="21"/>
                <w:szCs w:val="21"/>
                <w:highlight w:val="none"/>
                <w:vertAlign w:val="baseline"/>
                <w:lang w:val="en-US" w:eastAsia="zh-CN" w:bidi="ar"/>
              </w:rPr>
              <w:t>各街（镇）</w:t>
            </w:r>
          </w:p>
        </w:tc>
        <w:tc>
          <w:tcPr>
            <w:tcW w:w="4733"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抓紧完成政府网站域名集中清理。平稳做好机构改革后政府网站新建、整合、改版、迁移等工作。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95" w:hRule="atLeast"/>
          <w:jc w:val="center"/>
        </w:trPr>
        <w:tc>
          <w:tcPr>
            <w:tcW w:w="3480" w:type="dxa"/>
            <w:tcBorders>
              <w:top w:val="nil"/>
              <w:left w:val="single" w:color="000000" w:sz="8" w:space="0"/>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30.推进政府网站部署互联网协议第六版（IPv6）</w:t>
            </w:r>
          </w:p>
        </w:tc>
        <w:tc>
          <w:tcPr>
            <w:tcW w:w="1515"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default" w:ascii="Times New Roman" w:hAnsi="Times New Roman" w:cs="Times New Roman"/>
                <w:sz w:val="21"/>
                <w:szCs w:val="21"/>
              </w:rPr>
            </w:pPr>
            <w:r>
              <w:rPr>
                <w:rFonts w:hint="eastAsia" w:ascii="宋体" w:hAnsi="宋体" w:eastAsia="宋体" w:cs="宋体"/>
                <w:sz w:val="21"/>
                <w:szCs w:val="21"/>
                <w:lang w:eastAsia="zh-CN"/>
              </w:rPr>
              <w:t>区数字办</w:t>
            </w:r>
          </w:p>
        </w:tc>
        <w:tc>
          <w:tcPr>
            <w:tcW w:w="4192"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sz w:val="21"/>
                <w:szCs w:val="21"/>
                <w:lang w:eastAsia="zh-CN"/>
              </w:rPr>
              <w:t>区直各有关单位、</w:t>
            </w:r>
            <w:r>
              <w:rPr>
                <w:rFonts w:hint="eastAsia" w:ascii="宋体" w:hAnsi="宋体" w:eastAsia="宋体" w:cs="宋体"/>
                <w:color w:val="000000"/>
                <w:kern w:val="0"/>
                <w:sz w:val="21"/>
                <w:szCs w:val="21"/>
                <w:highlight w:val="none"/>
                <w:vertAlign w:val="baseline"/>
                <w:lang w:val="en-US" w:eastAsia="zh-CN" w:bidi="ar"/>
              </w:rPr>
              <w:t>各街（镇）</w:t>
            </w:r>
          </w:p>
        </w:tc>
        <w:tc>
          <w:tcPr>
            <w:tcW w:w="4733"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加快各级政府门户网站及其附属应用系统、移动互联网应用升级改造，全面支持IPv6，发挥政府网站示范带头作用。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3920" w:type="dxa"/>
            <w:gridSpan w:val="4"/>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b/>
                <w:color w:val="000000"/>
                <w:kern w:val="0"/>
                <w:sz w:val="21"/>
                <w:szCs w:val="21"/>
                <w:vertAlign w:val="baseline"/>
                <w:lang w:val="en-US" w:eastAsia="zh-CN" w:bidi="ar"/>
              </w:rPr>
              <w:t>（十二）推进政务新媒体健康有序发展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49" w:hRule="atLeast"/>
          <w:jc w:val="center"/>
        </w:trPr>
        <w:tc>
          <w:tcPr>
            <w:tcW w:w="3480" w:type="dxa"/>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31.充分发挥新媒体平台作用</w:t>
            </w:r>
          </w:p>
        </w:tc>
        <w:tc>
          <w:tcPr>
            <w:tcW w:w="1515"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sz w:val="21"/>
                <w:szCs w:val="21"/>
              </w:rPr>
            </w:pPr>
            <w:r>
              <w:rPr>
                <w:rFonts w:hint="eastAsia" w:ascii="宋体" w:hAnsi="宋体" w:eastAsia="宋体" w:cs="宋体"/>
                <w:sz w:val="21"/>
                <w:szCs w:val="21"/>
                <w:lang w:eastAsia="zh-CN"/>
              </w:rPr>
              <w:t>区数字办</w:t>
            </w:r>
          </w:p>
        </w:tc>
        <w:tc>
          <w:tcPr>
            <w:tcW w:w="4192"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lang w:eastAsia="zh-CN"/>
              </w:rPr>
              <w:t>区直各有关单位、</w:t>
            </w:r>
            <w:r>
              <w:rPr>
                <w:rFonts w:hint="eastAsia" w:ascii="宋体" w:hAnsi="宋体" w:eastAsia="宋体" w:cs="宋体"/>
                <w:color w:val="000000"/>
                <w:kern w:val="0"/>
                <w:sz w:val="21"/>
                <w:szCs w:val="21"/>
                <w:highlight w:val="none"/>
                <w:vertAlign w:val="baseline"/>
                <w:lang w:val="en-US" w:eastAsia="zh-CN" w:bidi="ar"/>
              </w:rPr>
              <w:t>各街（镇）</w:t>
            </w:r>
          </w:p>
        </w:tc>
        <w:tc>
          <w:tcPr>
            <w:tcW w:w="4733"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统筹推进政务新媒体与政府网站的协同联动、融合发展，加强本区政务新媒体与融媒体中心的沟通协调，提高信息发布、解读回应、政民互动、办事服务的整体水平。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09" w:hRule="atLeast"/>
          <w:jc w:val="center"/>
        </w:trPr>
        <w:tc>
          <w:tcPr>
            <w:tcW w:w="3480" w:type="dxa"/>
            <w:tcBorders>
              <w:top w:val="nil"/>
              <w:left w:val="single" w:color="000000" w:sz="8" w:space="0"/>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32.加强新媒体平台维护管理</w:t>
            </w:r>
          </w:p>
        </w:tc>
        <w:tc>
          <w:tcPr>
            <w:tcW w:w="1515"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区委宣传部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sz w:val="21"/>
                <w:szCs w:val="21"/>
              </w:rPr>
            </w:pPr>
            <w:r>
              <w:rPr>
                <w:rFonts w:hint="eastAsia" w:ascii="宋体" w:hAnsi="宋体" w:eastAsia="宋体" w:cs="宋体"/>
                <w:sz w:val="21"/>
                <w:szCs w:val="21"/>
                <w:lang w:eastAsia="zh-CN"/>
              </w:rPr>
              <w:t>区数字办</w:t>
            </w:r>
          </w:p>
        </w:tc>
        <w:tc>
          <w:tcPr>
            <w:tcW w:w="4192"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lang w:eastAsia="zh-CN"/>
              </w:rPr>
              <w:t>区直各有关单位、</w:t>
            </w:r>
            <w:r>
              <w:rPr>
                <w:rFonts w:hint="eastAsia" w:ascii="宋体" w:hAnsi="宋体" w:eastAsia="宋体" w:cs="宋体"/>
                <w:color w:val="000000"/>
                <w:kern w:val="0"/>
                <w:sz w:val="21"/>
                <w:szCs w:val="21"/>
                <w:highlight w:val="none"/>
                <w:vertAlign w:val="baseline"/>
                <w:lang w:val="en-US" w:eastAsia="zh-CN" w:bidi="ar"/>
              </w:rPr>
              <w:t>各街（镇）</w:t>
            </w:r>
          </w:p>
        </w:tc>
        <w:tc>
          <w:tcPr>
            <w:tcW w:w="4733"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理顺政务APP、微信公众号、政务微博、今日头条、抖音等政务新媒体管理机制，建立健全相关工作制度，做好开设整合、内容保障、信息联动、安全防护、监督管理等工作。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3920" w:type="dxa"/>
            <w:gridSpan w:val="4"/>
            <w:tcBorders>
              <w:top w:val="single" w:color="auto" w:sz="4" w:space="0"/>
              <w:left w:val="single" w:color="000000" w:sz="8" w:space="0"/>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b/>
                <w:color w:val="000000"/>
                <w:kern w:val="0"/>
                <w:sz w:val="21"/>
                <w:szCs w:val="21"/>
                <w:vertAlign w:val="baseline"/>
                <w:lang w:val="en-US" w:eastAsia="zh-CN" w:bidi="ar"/>
              </w:rPr>
              <w:t>（十三）加快办事大厅线上线下融合发展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78" w:hRule="atLeast"/>
          <w:jc w:val="center"/>
        </w:trPr>
        <w:tc>
          <w:tcPr>
            <w:tcW w:w="3480" w:type="dxa"/>
            <w:tcBorders>
              <w:top w:val="single" w:color="auto" w:sz="4" w:space="0"/>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893"/>
              </w:tabs>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33.及时梳理并公开审批服务事项、办事指南、办事流程</w:t>
            </w:r>
          </w:p>
        </w:tc>
        <w:tc>
          <w:tcPr>
            <w:tcW w:w="1515"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区行政服务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中心管委会</w:t>
            </w:r>
          </w:p>
        </w:tc>
        <w:tc>
          <w:tcPr>
            <w:tcW w:w="4192"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lang w:eastAsia="zh-CN"/>
              </w:rPr>
              <w:t>区直各有关单位</w:t>
            </w:r>
          </w:p>
        </w:tc>
        <w:tc>
          <w:tcPr>
            <w:tcW w:w="4733"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结合机构改革后的职责调整变化情况，及时梳理编制并公开进驻办事大厅的审批服务事项、办事指南、办事流程等。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88" w:hRule="atLeast"/>
          <w:jc w:val="center"/>
        </w:trPr>
        <w:tc>
          <w:tcPr>
            <w:tcW w:w="3480" w:type="dxa"/>
            <w:tcBorders>
              <w:top w:val="single" w:color="auto" w:sz="4" w:space="0"/>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34.不断深化“一窗受理、集成服务”改革，进一步整合优化实体办事大厅“一站式”功能，加快实现“一个窗口”“一次办理”</w:t>
            </w:r>
          </w:p>
        </w:tc>
        <w:tc>
          <w:tcPr>
            <w:tcW w:w="1515"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区行政服务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中心管委会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p>
        </w:tc>
        <w:tc>
          <w:tcPr>
            <w:tcW w:w="4192"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lang w:eastAsia="zh-CN"/>
              </w:rPr>
              <w:t>区直各有关单位</w:t>
            </w:r>
          </w:p>
        </w:tc>
        <w:tc>
          <w:tcPr>
            <w:tcW w:w="4733"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对部门进驻行政服务中心的办事窗口进行有效整合，依事项性质和类别设立综合窗口，实行前台综合受理、后台分类审批、统一窗口出件模式。对涉及多个部门的复杂事项，建立部门联办机制，探索推行全程代办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88" w:hRule="atLeast"/>
          <w:jc w:val="center"/>
        </w:trPr>
        <w:tc>
          <w:tcPr>
            <w:tcW w:w="3480" w:type="dxa"/>
            <w:tcBorders>
              <w:top w:val="single" w:color="auto" w:sz="4" w:space="0"/>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998"/>
              </w:tabs>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35.全面清理整合政务热线电话</w:t>
            </w:r>
          </w:p>
        </w:tc>
        <w:tc>
          <w:tcPr>
            <w:tcW w:w="1515"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区“智慧鼓楼”服务中心</w:t>
            </w:r>
          </w:p>
        </w:tc>
        <w:tc>
          <w:tcPr>
            <w:tcW w:w="4192"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lang w:eastAsia="zh-CN"/>
              </w:rPr>
              <w:t>区直各有关单位</w:t>
            </w:r>
          </w:p>
        </w:tc>
        <w:tc>
          <w:tcPr>
            <w:tcW w:w="4733"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进一步清理整合政务热线，推动政务热线与政府网站互动交流系统互联互通，除因专业性强、咨询服务量大确需保留的政务热线外，加快将各部门、各类便民公开电话专线统一整合到12345热线电话，实现“一号对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3920" w:type="dxa"/>
            <w:gridSpan w:val="4"/>
            <w:tcBorders>
              <w:top w:val="nil"/>
              <w:left w:val="single" w:color="000000" w:sz="8" w:space="0"/>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b/>
                <w:color w:val="000000"/>
                <w:kern w:val="0"/>
                <w:sz w:val="21"/>
                <w:szCs w:val="21"/>
                <w:vertAlign w:val="baseline"/>
                <w:lang w:val="en-US" w:eastAsia="zh-CN" w:bidi="ar"/>
              </w:rPr>
              <w:t>（十四）健全制度规范，提升公开质量</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90" w:hRule="atLeast"/>
          <w:jc w:val="center"/>
        </w:trPr>
        <w:tc>
          <w:tcPr>
            <w:tcW w:w="3480"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lang w:val="en-US" w:eastAsia="zh-CN"/>
              </w:rPr>
              <w:t>36.</w:t>
            </w:r>
            <w:r>
              <w:rPr>
                <w:rFonts w:hint="eastAsia" w:ascii="宋体" w:hAnsi="宋体" w:eastAsia="宋体" w:cs="宋体"/>
                <w:sz w:val="21"/>
                <w:szCs w:val="21"/>
              </w:rPr>
              <w:t>贯彻落实政府信息公开新条例</w:t>
            </w:r>
          </w:p>
        </w:tc>
        <w:tc>
          <w:tcPr>
            <w:tcW w:w="1515"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区信息公开办</w:t>
            </w:r>
          </w:p>
        </w:tc>
        <w:tc>
          <w:tcPr>
            <w:tcW w:w="4192"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lang w:eastAsia="zh-CN"/>
              </w:rPr>
              <w:t>区直各有关单位、</w:t>
            </w:r>
            <w:r>
              <w:rPr>
                <w:rFonts w:hint="eastAsia" w:ascii="宋体" w:hAnsi="宋体" w:eastAsia="宋体" w:cs="宋体"/>
                <w:color w:val="000000"/>
                <w:kern w:val="0"/>
                <w:sz w:val="21"/>
                <w:szCs w:val="21"/>
                <w:highlight w:val="none"/>
                <w:vertAlign w:val="baseline"/>
                <w:lang w:val="en-US" w:eastAsia="zh-CN" w:bidi="ar"/>
              </w:rPr>
              <w:t>各街（镇）</w:t>
            </w:r>
          </w:p>
        </w:tc>
        <w:tc>
          <w:tcPr>
            <w:tcW w:w="4733"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rPr>
              <w:t>加强对新条例的宣传解读，加强对政府工作人员培训，不断优化提升公开的数量和质量。进一步做好依申请公开工作。建立健全公共企事业单位信息公开制度，组织编制公共企事业公开事项目录，为公共企事业信息公开提供标准、规范、遵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2" w:hRule="atLeast"/>
          <w:jc w:val="center"/>
        </w:trPr>
        <w:tc>
          <w:tcPr>
            <w:tcW w:w="3480"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lang w:val="en-US" w:eastAsia="zh-CN"/>
              </w:rPr>
              <w:t>37.</w:t>
            </w:r>
            <w:r>
              <w:rPr>
                <w:rFonts w:hint="eastAsia" w:ascii="宋体" w:hAnsi="宋体" w:eastAsia="宋体" w:cs="宋体"/>
                <w:sz w:val="21"/>
                <w:szCs w:val="21"/>
              </w:rPr>
              <w:t>学习借鉴基层政务公开试点经验</w:t>
            </w:r>
          </w:p>
        </w:tc>
        <w:tc>
          <w:tcPr>
            <w:tcW w:w="1515"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p>
        </w:tc>
        <w:tc>
          <w:tcPr>
            <w:tcW w:w="4192"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lang w:eastAsia="zh-CN"/>
              </w:rPr>
              <w:t>区直各有关单位、</w:t>
            </w:r>
            <w:r>
              <w:rPr>
                <w:rFonts w:hint="eastAsia" w:ascii="宋体" w:hAnsi="宋体" w:eastAsia="宋体" w:cs="宋体"/>
                <w:color w:val="000000"/>
                <w:kern w:val="0"/>
                <w:sz w:val="21"/>
                <w:szCs w:val="21"/>
                <w:highlight w:val="none"/>
                <w:vertAlign w:val="baseline"/>
                <w:lang w:val="en-US" w:eastAsia="zh-CN" w:bidi="ar"/>
              </w:rPr>
              <w:t>各街（镇）</w:t>
            </w:r>
          </w:p>
        </w:tc>
        <w:tc>
          <w:tcPr>
            <w:tcW w:w="4733"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rPr>
              <w:t>积极借鉴全国基层政务公开标准化、规范化试点工作经验，进一步提高基层政务公开的针对性、实效性。立足基层实际，坚持以公开为常态、不公开为例外，积极探索创新，创造更多可复制可推广的经验。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60" w:hRule="atLeast"/>
          <w:jc w:val="center"/>
        </w:trPr>
        <w:tc>
          <w:tcPr>
            <w:tcW w:w="3480"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lang w:val="en-US" w:eastAsia="zh-CN"/>
              </w:rPr>
              <w:t>38.</w:t>
            </w:r>
            <w:r>
              <w:rPr>
                <w:rFonts w:hint="eastAsia" w:ascii="宋体" w:hAnsi="宋体" w:eastAsia="宋体" w:cs="宋体"/>
                <w:sz w:val="21"/>
                <w:szCs w:val="21"/>
              </w:rPr>
              <w:t>强化组织领导</w:t>
            </w:r>
          </w:p>
        </w:tc>
        <w:tc>
          <w:tcPr>
            <w:tcW w:w="1515"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 区政务公开办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区效能办</w:t>
            </w:r>
          </w:p>
        </w:tc>
        <w:tc>
          <w:tcPr>
            <w:tcW w:w="4192"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lang w:eastAsia="zh-CN"/>
              </w:rPr>
              <w:t>区直各有关单位、</w:t>
            </w:r>
            <w:r>
              <w:rPr>
                <w:rFonts w:hint="eastAsia" w:ascii="宋体" w:hAnsi="宋体" w:eastAsia="宋体" w:cs="宋体"/>
                <w:color w:val="000000"/>
                <w:kern w:val="0"/>
                <w:sz w:val="21"/>
                <w:szCs w:val="21"/>
                <w:highlight w:val="none"/>
                <w:vertAlign w:val="baseline"/>
                <w:lang w:val="en-US" w:eastAsia="zh-CN" w:bidi="ar"/>
              </w:rPr>
              <w:t>各街（镇）</w:t>
            </w:r>
          </w:p>
        </w:tc>
        <w:tc>
          <w:tcPr>
            <w:tcW w:w="4733"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rPr>
              <w:t>完善政务公开工作机制，加强政务公开机构建设、专职人员配备</w:t>
            </w:r>
            <w:r>
              <w:rPr>
                <w:rFonts w:hint="eastAsia" w:ascii="宋体" w:hAnsi="宋体" w:eastAsia="宋体" w:cs="宋体"/>
                <w:sz w:val="21"/>
                <w:szCs w:val="21"/>
                <w:highlight w:val="none"/>
              </w:rPr>
              <w:t>和经费保障。严格落实把政务公开纳入政府绩效考核体系且分值权重不低于4%的要求。机构改革涉及的各政府部门要在符合保密要求的前提下，依法公开本机关的“三定”规定等信息，及时制定更新主动公开基本目录。建立行</w:t>
            </w:r>
            <w:r>
              <w:rPr>
                <w:rFonts w:hint="eastAsia" w:ascii="宋体" w:hAnsi="宋体" w:eastAsia="宋体" w:cs="宋体"/>
                <w:sz w:val="21"/>
                <w:szCs w:val="21"/>
              </w:rPr>
              <w:t>政规章和规范性文件公开台账，做好与公文管理系统和合法性审核管理信息平台的衔接。</w:t>
            </w:r>
          </w:p>
        </w:tc>
      </w:tr>
    </w:tbl>
    <w:p>
      <w:pPr>
        <w:keepNext w:val="0"/>
        <w:keepLines w:val="0"/>
        <w:pageBreakBefore w:val="0"/>
        <w:widowControl w:val="0"/>
        <w:kinsoku/>
        <w:wordWrap/>
        <w:autoSpaceDE/>
        <w:autoSpaceDN/>
        <w:snapToGrid/>
        <w:spacing w:before="0" w:beforeLines="0" w:beforeAutospacing="0" w:after="0" w:afterLines="0" w:afterAutospacing="0" w:line="600" w:lineRule="exact"/>
        <w:ind w:left="0" w:leftChars="0" w:right="0" w:firstLine="0" w:firstLineChars="0"/>
        <w:jc w:val="both"/>
        <w:textAlignment w:val="baseline"/>
        <w:outlineLvl w:val="9"/>
        <w:rPr>
          <w:rFonts w:hint="eastAsia" w:ascii="仿宋_GB2312" w:hAnsi="方正仿宋_GBK"/>
          <w:sz w:val="28"/>
        </w:rPr>
        <w:sectPr>
          <w:footerReference r:id="rId3" w:type="default"/>
          <w:footerReference r:id="rId4" w:type="even"/>
          <w:pgSz w:w="16838" w:h="11906" w:orient="landscape"/>
          <w:pgMar w:top="1587" w:right="2097" w:bottom="1417" w:left="1587" w:header="850" w:footer="1361" w:gutter="0"/>
          <w:pgNumType w:fmt="numberInDash" w:start="11"/>
          <w:cols w:space="720" w:num="1"/>
          <w:rtlGutter w:val="0"/>
          <w:docGrid w:type="linesAndChars" w:linePitch="593" w:charSpace="-614"/>
        </w:sectPr>
      </w:pPr>
      <w:r>
        <w:rPr>
          <w:rFonts w:hint="eastAsia"/>
          <w:spacing w:val="-10"/>
          <w:kern w:val="2"/>
          <w:sz w:val="32"/>
          <w:lang w:val="en-US" w:eastAsia="zh-CN"/>
        </w:rPr>
        <w:t xml:space="preserve">    </w:t>
      </w:r>
    </w:p>
    <w:p>
      <w:pPr>
        <w:rPr>
          <w:rFonts w:hint="eastAsia"/>
        </w:rPr>
      </w:pPr>
    </w:p>
    <w:sectPr>
      <w:pgSz w:w="11906" w:h="16838"/>
      <w:pgMar w:top="2098" w:right="1417" w:bottom="1587" w:left="1587" w:header="850" w:footer="1361" w:gutter="0"/>
      <w:pgNumType w:fmt="numberInDash"/>
      <w:cols w:space="720" w:num="1"/>
      <w:rtlGutter w:val="0"/>
      <w:docGrid w:type="linesAndChars" w:linePitch="593" w:char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altName w:val="宋体"/>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11"/>
      <w:rPr>
        <w:rFonts w:hint="eastAsia" w:ascii="楷体_GB2312" w:eastAsia="楷体_GB2312"/>
        <w:sz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spacing w:line="240" w:lineRule="auto"/>
                            <w:rPr>
                              <w:rFonts w:hint="eastAsia" w:ascii="Times New Roman" w:hAnsi="Times New Roman" w:eastAsia="宋体" w:cs="Times New Roman"/>
                              <w:spacing w:val="0"/>
                              <w:sz w:val="28"/>
                              <w:szCs w:val="28"/>
                              <w:lang w:eastAsia="zh-CN" w:bidi="ar-SA"/>
                            </w:rPr>
                          </w:pPr>
                          <w:r>
                            <w:rPr>
                              <w:rFonts w:hint="eastAsia" w:ascii="Times New Roman" w:hAnsi="Times New Roman" w:eastAsia="宋体" w:cs="Times New Roman"/>
                              <w:spacing w:val="0"/>
                              <w:sz w:val="28"/>
                              <w:szCs w:val="28"/>
                              <w:lang w:eastAsia="zh-CN" w:bidi="ar-SA"/>
                            </w:rPr>
                            <w:fldChar w:fldCharType="begin"/>
                          </w:r>
                          <w:r>
                            <w:rPr>
                              <w:rFonts w:hint="eastAsia" w:ascii="Times New Roman" w:hAnsi="Times New Roman" w:eastAsia="宋体" w:cs="Times New Roman"/>
                              <w:spacing w:val="0"/>
                              <w:sz w:val="28"/>
                              <w:szCs w:val="28"/>
                              <w:lang w:eastAsia="zh-CN" w:bidi="ar-SA"/>
                            </w:rPr>
                            <w:instrText xml:space="preserve"> PAGE  \* MERGEFORMAT </w:instrText>
                          </w:r>
                          <w:r>
                            <w:rPr>
                              <w:rFonts w:hint="eastAsia" w:ascii="Times New Roman" w:hAnsi="Times New Roman" w:eastAsia="宋体" w:cs="Times New Roman"/>
                              <w:spacing w:val="0"/>
                              <w:sz w:val="28"/>
                              <w:szCs w:val="28"/>
                              <w:lang w:eastAsia="zh-CN" w:bidi="ar-SA"/>
                            </w:rPr>
                            <w:fldChar w:fldCharType="separate"/>
                          </w:r>
                          <w:r>
                            <w:rPr>
                              <w:rFonts w:hint="eastAsia" w:ascii="Times New Roman" w:hAnsi="Times New Roman" w:eastAsia="宋体" w:cs="Times New Roman"/>
                              <w:spacing w:val="0"/>
                              <w:sz w:val="28"/>
                              <w:szCs w:val="28"/>
                              <w:lang w:eastAsia="zh-CN" w:bidi="ar-SA"/>
                            </w:rPr>
                            <w:t>1</w:t>
                          </w:r>
                          <w:r>
                            <w:rPr>
                              <w:rFonts w:hint="eastAsia" w:ascii="Times New Roman" w:hAnsi="Times New Roman" w:eastAsia="宋体" w:cs="Times New Roman"/>
                              <w:spacing w:val="0"/>
                              <w:sz w:val="28"/>
                              <w:szCs w:val="28"/>
                              <w:lang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spacing w:line="240" w:lineRule="auto"/>
                      <w:rPr>
                        <w:rFonts w:hint="eastAsia" w:ascii="Times New Roman" w:hAnsi="Times New Roman" w:eastAsia="宋体" w:cs="Times New Roman"/>
                        <w:spacing w:val="0"/>
                        <w:sz w:val="28"/>
                        <w:szCs w:val="28"/>
                        <w:lang w:eastAsia="zh-CN" w:bidi="ar-SA"/>
                      </w:rPr>
                    </w:pPr>
                    <w:r>
                      <w:rPr>
                        <w:rFonts w:hint="eastAsia" w:ascii="Times New Roman" w:hAnsi="Times New Roman" w:eastAsia="宋体" w:cs="Times New Roman"/>
                        <w:spacing w:val="0"/>
                        <w:sz w:val="28"/>
                        <w:szCs w:val="28"/>
                        <w:lang w:eastAsia="zh-CN" w:bidi="ar-SA"/>
                      </w:rPr>
                      <w:fldChar w:fldCharType="begin"/>
                    </w:r>
                    <w:r>
                      <w:rPr>
                        <w:rFonts w:hint="eastAsia" w:ascii="Times New Roman" w:hAnsi="Times New Roman" w:eastAsia="宋体" w:cs="Times New Roman"/>
                        <w:spacing w:val="0"/>
                        <w:sz w:val="28"/>
                        <w:szCs w:val="28"/>
                        <w:lang w:eastAsia="zh-CN" w:bidi="ar-SA"/>
                      </w:rPr>
                      <w:instrText xml:space="preserve"> PAGE  \* MERGEFORMAT </w:instrText>
                    </w:r>
                    <w:r>
                      <w:rPr>
                        <w:rFonts w:hint="eastAsia" w:ascii="Times New Roman" w:hAnsi="Times New Roman" w:eastAsia="宋体" w:cs="Times New Roman"/>
                        <w:spacing w:val="0"/>
                        <w:sz w:val="28"/>
                        <w:szCs w:val="28"/>
                        <w:lang w:eastAsia="zh-CN" w:bidi="ar-SA"/>
                      </w:rPr>
                      <w:fldChar w:fldCharType="separate"/>
                    </w:r>
                    <w:r>
                      <w:rPr>
                        <w:rFonts w:hint="eastAsia" w:ascii="Times New Roman" w:hAnsi="Times New Roman" w:eastAsia="宋体" w:cs="Times New Roman"/>
                        <w:spacing w:val="0"/>
                        <w:sz w:val="28"/>
                        <w:szCs w:val="28"/>
                        <w:lang w:eastAsia="zh-CN" w:bidi="ar-SA"/>
                      </w:rPr>
                      <w:t>1</w:t>
                    </w:r>
                    <w:r>
                      <w:rPr>
                        <w:rFonts w:hint="eastAsia" w:ascii="Times New Roman" w:hAnsi="Times New Roman" w:eastAsia="宋体" w:cs="Times New Roman"/>
                        <w:spacing w:val="0"/>
                        <w:sz w:val="28"/>
                        <w:szCs w:val="28"/>
                        <w:lang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40" w:lineRule="auto"/>
      <w:rPr>
        <w:rFonts w:hint="default" w:ascii="Times New Roman" w:hAnsi="Times New Roman" w:eastAsia="宋体" w:cs="Times New Roman"/>
        <w:spacing w:val="0"/>
        <w:sz w:val="28"/>
        <w:szCs w:val="28"/>
        <w:lang w:eastAsia="zh-CN" w:bidi="ar-SA"/>
      </w:rPr>
    </w:pPr>
    <w:r>
      <w:rPr>
        <w:rFonts w:hint="eastAsia" w:ascii="Times New Roman" w:hAnsi="Times New Roman" w:eastAsia="宋体" w:cs="Times New Roman"/>
        <w:spacing w:val="0"/>
        <w:sz w:val="28"/>
        <w:szCs w:val="28"/>
        <w:lang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dit="trackedChanges" w:enforcement="0"/>
  <w:defaultTabStop w:val="720"/>
  <w:hyphenationZone w:val="360"/>
  <w:evenAndOddHeaders w:val="1"/>
  <w:drawingGridHorizontalSpacing w:val="159"/>
  <w:drawingGridVerticalSpacing w:val="29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Time" w:val="2018-06-21 17:01:41"/>
    <w:docVar w:name="SessionId" w:val="LtpaToken=AAECAzVCMkI2QkM4NUIyQzU2MjhDTj1VMDAwMTI1L089RlVaSE9Vajr+CHE9TZKcPsV1yeRlaPlF6CA="/>
  </w:docVars>
  <w:rsids>
    <w:rsidRoot w:val="00172A27"/>
    <w:rsid w:val="00937E84"/>
    <w:rsid w:val="00D96CBB"/>
    <w:rsid w:val="03180C26"/>
    <w:rsid w:val="05685450"/>
    <w:rsid w:val="057A748C"/>
    <w:rsid w:val="05AA4E63"/>
    <w:rsid w:val="06367A59"/>
    <w:rsid w:val="07E65B2C"/>
    <w:rsid w:val="0E186062"/>
    <w:rsid w:val="11802604"/>
    <w:rsid w:val="11F35DD7"/>
    <w:rsid w:val="12215914"/>
    <w:rsid w:val="133D42DF"/>
    <w:rsid w:val="15413EBC"/>
    <w:rsid w:val="177257A3"/>
    <w:rsid w:val="17B95986"/>
    <w:rsid w:val="19874BB5"/>
    <w:rsid w:val="1DC44A8F"/>
    <w:rsid w:val="1DFFACA8"/>
    <w:rsid w:val="1FEA7B03"/>
    <w:rsid w:val="21F20D44"/>
    <w:rsid w:val="23353924"/>
    <w:rsid w:val="243C783C"/>
    <w:rsid w:val="252D5986"/>
    <w:rsid w:val="25C35CE6"/>
    <w:rsid w:val="277A7C7D"/>
    <w:rsid w:val="289D63F0"/>
    <w:rsid w:val="29042877"/>
    <w:rsid w:val="296E1154"/>
    <w:rsid w:val="2A0571B3"/>
    <w:rsid w:val="2C4B3C10"/>
    <w:rsid w:val="2C54372F"/>
    <w:rsid w:val="2C5D250D"/>
    <w:rsid w:val="2C6636A0"/>
    <w:rsid w:val="2E587A85"/>
    <w:rsid w:val="31CD7502"/>
    <w:rsid w:val="32505714"/>
    <w:rsid w:val="36405014"/>
    <w:rsid w:val="36D32EEE"/>
    <w:rsid w:val="370B54CF"/>
    <w:rsid w:val="3BA336C6"/>
    <w:rsid w:val="3DE834E4"/>
    <w:rsid w:val="3F2E2CDD"/>
    <w:rsid w:val="40A9305E"/>
    <w:rsid w:val="40F93A09"/>
    <w:rsid w:val="42AC6929"/>
    <w:rsid w:val="433626F1"/>
    <w:rsid w:val="435629C7"/>
    <w:rsid w:val="4402560E"/>
    <w:rsid w:val="447B3D2A"/>
    <w:rsid w:val="45D071A5"/>
    <w:rsid w:val="45DFC111"/>
    <w:rsid w:val="465969A3"/>
    <w:rsid w:val="4B273201"/>
    <w:rsid w:val="4C042895"/>
    <w:rsid w:val="4CA63FA8"/>
    <w:rsid w:val="4ECA3805"/>
    <w:rsid w:val="4F2C2780"/>
    <w:rsid w:val="4F2E75D5"/>
    <w:rsid w:val="4F7E307D"/>
    <w:rsid w:val="505B47C4"/>
    <w:rsid w:val="50C14087"/>
    <w:rsid w:val="51F307F6"/>
    <w:rsid w:val="52371ED7"/>
    <w:rsid w:val="52BA3DC5"/>
    <w:rsid w:val="57FC037D"/>
    <w:rsid w:val="590D54DD"/>
    <w:rsid w:val="5BF95C11"/>
    <w:rsid w:val="5D6178A9"/>
    <w:rsid w:val="62B67D84"/>
    <w:rsid w:val="634A1BC4"/>
    <w:rsid w:val="641842A7"/>
    <w:rsid w:val="64C11AA5"/>
    <w:rsid w:val="65B914EA"/>
    <w:rsid w:val="65FE0ED6"/>
    <w:rsid w:val="67A977B4"/>
    <w:rsid w:val="6B3A7826"/>
    <w:rsid w:val="6E1629C2"/>
    <w:rsid w:val="6ED1753D"/>
    <w:rsid w:val="755A1615"/>
    <w:rsid w:val="761F0A21"/>
    <w:rsid w:val="781B1AA6"/>
    <w:rsid w:val="782A3E0E"/>
    <w:rsid w:val="79AE01F6"/>
    <w:rsid w:val="7BDF59FD"/>
    <w:rsid w:val="7E9F53D0"/>
    <w:rsid w:val="7FF8BA28"/>
    <w:rsid w:val="B7FDF2D2"/>
    <w:rsid w:val="DBB72A1E"/>
    <w:rsid w:val="EEFFD663"/>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仿宋_GB2312" w:hAnsi="仿宋_GB2312" w:eastAsia="仿宋_GB2312" w:cs="Times New Roman"/>
      <w:spacing w:val="0"/>
      <w:kern w:val="2"/>
      <w:sz w:val="32"/>
      <w:lang w:val="en-US" w:eastAsia="zh-CN"/>
    </w:rPr>
  </w:style>
  <w:style w:type="character" w:default="1" w:styleId="4">
    <w:name w:val="Default Paragraph Font"/>
    <w:qFormat/>
    <w:uiPriority w:val="0"/>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5">
    <w:name w:val="Strong"/>
    <w:basedOn w:val="4"/>
    <w:qFormat/>
    <w:uiPriority w:val="0"/>
    <w:rPr>
      <w:b/>
    </w:rPr>
  </w:style>
  <w:style w:type="character" w:styleId="6">
    <w:name w:val="page number"/>
    <w:basedOn w:val="4"/>
    <w:qFormat/>
    <w:uiPriority w:val="0"/>
  </w:style>
  <w:style w:type="character" w:styleId="7">
    <w:name w:val="FollowedHyperlink"/>
    <w:basedOn w:val="4"/>
    <w:qFormat/>
    <w:uiPriority w:val="0"/>
    <w:rPr>
      <w:color w:val="333333"/>
      <w:u w:val="none"/>
    </w:rPr>
  </w:style>
  <w:style w:type="character" w:styleId="8">
    <w:name w:val="line number"/>
    <w:basedOn w:val="4"/>
    <w:qFormat/>
    <w:uiPriority w:val="0"/>
  </w:style>
  <w:style w:type="table" w:styleId="10">
    <w:name w:val="Table Grid"/>
    <w:basedOn w:val="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6890;&#30693;.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通知.wpt</Template>
  <Company>fzgov</Company>
  <Pages>16</Pages>
  <Words>7605</Words>
  <Characters>7787</Characters>
  <Lines>0</Lines>
  <Paragraphs>0</Paragraphs>
  <ScaleCrop>false</ScaleCrop>
  <LinksUpToDate>false</LinksUpToDate>
  <CharactersWithSpaces>8228</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2014-05-04T23:17:00Z</dcterms:created>
  <dc:creator>Test</dc:creator>
  <cp:lastModifiedBy>郑高宁</cp:lastModifiedBy>
  <cp:lastPrinted>2019-06-25T23:50:00Z</cp:lastPrinted>
  <dcterms:modified xsi:type="dcterms:W3CDTF">2019-08-13T01:56:14Z</dcterms:modified>
  <dc:title>No:0000001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